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bookmarkStart w:id="0" w:name="_GoBack"/>
      <w:bookmarkEnd w:id="0"/>
      <w:r w:rsidRPr="006B1ED8">
        <w:rPr>
          <w:rFonts w:ascii="Arial" w:eastAsia="Times New Roman" w:hAnsi="Arial" w:cs="Arial"/>
          <w:color w:val="0A0A0A"/>
          <w:sz w:val="27"/>
          <w:szCs w:val="27"/>
          <w:lang w:eastAsia="ru-RU"/>
        </w:rPr>
        <w:t xml:space="preserve">С 01 сентября 2022 г. при обработке персональных данных в перечисленных случаях нужно будет сообщать в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в общем порядке до начала обработки оператором персональных данных. Речь идет о федеральном законе от 14.07.2022 №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Представлять уведомление об обработке персональных данных должен оператор (ч. 1 ст. 22 Федеральный закон от 27.07.2006 № 152-ФЗ (ред. от 02.07.2021) «О персональных данных», далее по тексту – «Закон»).</w:t>
      </w:r>
    </w:p>
    <w:p w:rsidR="006B1ED8" w:rsidRPr="006B1ED8" w:rsidRDefault="006B1ED8" w:rsidP="006B1ED8">
      <w:pPr>
        <w:spacing w:after="0" w:line="240" w:lineRule="auto"/>
        <w:rPr>
          <w:rFonts w:ascii="Times New Roman" w:eastAsia="Times New Roman" w:hAnsi="Times New Roman" w:cs="Times New Roman"/>
          <w:sz w:val="24"/>
          <w:szCs w:val="24"/>
          <w:lang w:eastAsia="ru-RU"/>
        </w:rPr>
      </w:pPr>
      <w:r w:rsidRPr="006B1ED8">
        <w:rPr>
          <w:rFonts w:ascii="Arial" w:eastAsia="Times New Roman" w:hAnsi="Arial" w:cs="Arial"/>
          <w:i/>
          <w:iCs/>
          <w:color w:val="0A0A0A"/>
          <w:sz w:val="27"/>
          <w:szCs w:val="27"/>
          <w:shd w:val="clear" w:color="auto" w:fill="FFFFFF"/>
          <w:lang w:eastAsia="ru-RU"/>
        </w:rPr>
        <w:t>Операторами признаются государственные и муниципальные органы, а также юридические и физические лица, которые самостоятельно или совместно с другими лицами организуют и (или) осуществляют обработку персональных данных, а также определяют цели такой обработки, состав персональных данных, подлежащих обработке, и действия (операции), совершаемые с ними (п. 2 ст. 3 Закона).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Уведомление об обработке персональных данных представляется в уполномоченный орган по защите прав субъектов персональных данных (ч. 1 ст. 22 Закона). Таким органом является Федеральная служба по надзору в сфере связи, информационных технологий и массовых коммуникаций -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Уведомление </w:t>
      </w:r>
      <w:proofErr w:type="gramStart"/>
      <w:r w:rsidRPr="006B1ED8">
        <w:rPr>
          <w:rFonts w:ascii="Arial" w:eastAsia="Times New Roman" w:hAnsi="Arial" w:cs="Arial"/>
          <w:color w:val="0A0A0A"/>
          <w:sz w:val="27"/>
          <w:szCs w:val="27"/>
          <w:lang w:eastAsia="ru-RU"/>
        </w:rPr>
        <w:t>рекомендуется</w:t>
      </w:r>
      <w:proofErr w:type="gramEnd"/>
      <w:r w:rsidRPr="006B1ED8">
        <w:rPr>
          <w:rFonts w:ascii="Arial" w:eastAsia="Times New Roman" w:hAnsi="Arial" w:cs="Arial"/>
          <w:color w:val="0A0A0A"/>
          <w:sz w:val="27"/>
          <w:szCs w:val="27"/>
          <w:lang w:eastAsia="ru-RU"/>
        </w:rPr>
        <w:t xml:space="preserve"> наваляется в территориальный орган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 управление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по субъекту РФ по месту регистрации оператора в налоговом органе (</w:t>
      </w:r>
      <w:proofErr w:type="spellStart"/>
      <w:r w:rsidRPr="006B1ED8">
        <w:rPr>
          <w:rFonts w:ascii="Arial" w:eastAsia="Times New Roman" w:hAnsi="Arial" w:cs="Arial"/>
          <w:color w:val="0A0A0A"/>
          <w:sz w:val="27"/>
          <w:szCs w:val="27"/>
          <w:lang w:eastAsia="ru-RU"/>
        </w:rPr>
        <w:t>абз</w:t>
      </w:r>
      <w:proofErr w:type="spellEnd"/>
      <w:r w:rsidRPr="006B1ED8">
        <w:rPr>
          <w:rFonts w:ascii="Arial" w:eastAsia="Times New Roman" w:hAnsi="Arial" w:cs="Arial"/>
          <w:color w:val="0A0A0A"/>
          <w:sz w:val="27"/>
          <w:szCs w:val="27"/>
          <w:lang w:eastAsia="ru-RU"/>
        </w:rPr>
        <w:t>. 2 п. 3.1.13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Срок рассмотрения уведомления исчисляется со дня его регистрации в </w:t>
      </w:r>
      <w:proofErr w:type="spellStart"/>
      <w:r w:rsidRPr="006B1ED8">
        <w:rPr>
          <w:rFonts w:ascii="Arial" w:eastAsia="Times New Roman" w:hAnsi="Arial" w:cs="Arial"/>
          <w:color w:val="0A0A0A"/>
          <w:sz w:val="27"/>
          <w:szCs w:val="27"/>
          <w:lang w:eastAsia="ru-RU"/>
        </w:rPr>
        <w:t>Роскомнадзоре</w:t>
      </w:r>
      <w:proofErr w:type="spellEnd"/>
      <w:r w:rsidRPr="006B1ED8">
        <w:rPr>
          <w:rFonts w:ascii="Arial" w:eastAsia="Times New Roman" w:hAnsi="Arial" w:cs="Arial"/>
          <w:color w:val="0A0A0A"/>
          <w:sz w:val="27"/>
          <w:szCs w:val="27"/>
          <w:lang w:eastAsia="ru-RU"/>
        </w:rPr>
        <w:t xml:space="preserve"> (ТО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Сведения об операторе вносятся в реестр не позднее 30 дней </w:t>
      </w:r>
      <w:proofErr w:type="gramStart"/>
      <w:r w:rsidRPr="006B1ED8">
        <w:rPr>
          <w:rFonts w:ascii="Arial" w:eastAsia="Times New Roman" w:hAnsi="Arial" w:cs="Arial"/>
          <w:color w:val="0A0A0A"/>
          <w:sz w:val="27"/>
          <w:szCs w:val="27"/>
          <w:lang w:eastAsia="ru-RU"/>
        </w:rPr>
        <w:t>с даты регистрации</w:t>
      </w:r>
      <w:proofErr w:type="gramEnd"/>
      <w:r w:rsidRPr="006B1ED8">
        <w:rPr>
          <w:rFonts w:ascii="Arial" w:eastAsia="Times New Roman" w:hAnsi="Arial" w:cs="Arial"/>
          <w:color w:val="0A0A0A"/>
          <w:sz w:val="27"/>
          <w:szCs w:val="27"/>
          <w:lang w:eastAsia="ru-RU"/>
        </w:rPr>
        <w:t xml:space="preserve"> уведомления (п. 3.2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В самом уведомлении с 1 сентября 2022 года следующие сведения нужно будет указывать для каждой цели обработки персональных данных (ч. 3 ст. 22 Закона № 152-ФЗ):</w:t>
      </w:r>
    </w:p>
    <w:p w:rsidR="006B1ED8" w:rsidRPr="006B1ED8" w:rsidRDefault="006B1ED8" w:rsidP="006B1ED8">
      <w:pPr>
        <w:numPr>
          <w:ilvl w:val="0"/>
          <w:numId w:val="1"/>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категории персональных данных;</w:t>
      </w:r>
    </w:p>
    <w:p w:rsidR="006B1ED8" w:rsidRPr="006B1ED8" w:rsidRDefault="006B1ED8" w:rsidP="006B1ED8">
      <w:pPr>
        <w:numPr>
          <w:ilvl w:val="0"/>
          <w:numId w:val="1"/>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категории субъектов, персональные данные которых обрабатываются;</w:t>
      </w:r>
    </w:p>
    <w:p w:rsidR="006B1ED8" w:rsidRPr="006B1ED8" w:rsidRDefault="006B1ED8" w:rsidP="006B1ED8">
      <w:pPr>
        <w:numPr>
          <w:ilvl w:val="0"/>
          <w:numId w:val="1"/>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правовое основание обработки персональных данных;</w:t>
      </w:r>
    </w:p>
    <w:p w:rsidR="006B1ED8" w:rsidRPr="006B1ED8" w:rsidRDefault="006B1ED8" w:rsidP="006B1ED8">
      <w:pPr>
        <w:numPr>
          <w:ilvl w:val="0"/>
          <w:numId w:val="1"/>
        </w:numPr>
        <w:shd w:val="clear" w:color="auto" w:fill="FFFFFF"/>
        <w:spacing w:after="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перечень действий с персональными данными, общее описание используемых оператором способов обработки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lastRenderedPageBreak/>
        <w:t>При этом в уведомлении нужно будет указывать:</w:t>
      </w:r>
    </w:p>
    <w:p w:rsidR="006B1ED8" w:rsidRPr="006B1ED8" w:rsidRDefault="006B1ED8" w:rsidP="006B1ED8">
      <w:pPr>
        <w:numPr>
          <w:ilvl w:val="0"/>
          <w:numId w:val="2"/>
        </w:numPr>
        <w:shd w:val="clear" w:color="auto" w:fill="FFFFFF"/>
        <w:spacing w:after="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Ф. И. 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Форма уведомления утвержде6на приказом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от 30.05.2017 № 94 (ред. от 30.10.2018) «Об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Порядок заполнения уведомления описывается в Рекомендациях. Хотя они носят рекомендательный (необязательный) характер, чтобы избежать возникновения конфликтных ситуаций с уполномоченным органом, следует учитывать содержащиеся в них разъяснения.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Уведомление рекомендуется оформлять на бланке оператора (п. 3.1.13 Рекомендаций). Оно может быть составлено и направлено в уполномоченный </w:t>
      </w:r>
      <w:proofErr w:type="gramStart"/>
      <w:r w:rsidRPr="006B1ED8">
        <w:rPr>
          <w:rFonts w:ascii="Arial" w:eastAsia="Times New Roman" w:hAnsi="Arial" w:cs="Arial"/>
          <w:color w:val="0A0A0A"/>
          <w:sz w:val="27"/>
          <w:szCs w:val="27"/>
          <w:lang w:eastAsia="ru-RU"/>
        </w:rPr>
        <w:t>орган</w:t>
      </w:r>
      <w:proofErr w:type="gramEnd"/>
      <w:r w:rsidRPr="006B1ED8">
        <w:rPr>
          <w:rFonts w:ascii="Arial" w:eastAsia="Times New Roman" w:hAnsi="Arial" w:cs="Arial"/>
          <w:color w:val="0A0A0A"/>
          <w:sz w:val="27"/>
          <w:szCs w:val="27"/>
          <w:lang w:eastAsia="ru-RU"/>
        </w:rPr>
        <w:t xml:space="preserve"> как на бумажном носителе, так и в электронной форме (ч. 3 ст. 22 Закона, п. 3.2 Рекомендаций). Об особенностях заполнения и представления уведомления в электронной форме см. в разделе о представлении уведомления в уполномоченный орган.</w:t>
      </w:r>
    </w:p>
    <w:p w:rsidR="006B1ED8" w:rsidRPr="006B1ED8" w:rsidRDefault="006B1ED8" w:rsidP="006B1ED8">
      <w:pPr>
        <w:shd w:val="clear" w:color="auto" w:fill="FFFFFF"/>
        <w:spacing w:before="360" w:after="240" w:line="420" w:lineRule="atLeast"/>
        <w:outlineLvl w:val="2"/>
        <w:rPr>
          <w:rFonts w:ascii="Georgia" w:eastAsia="Times New Roman" w:hAnsi="Georgia" w:cs="Times New Roman"/>
          <w:b/>
          <w:bCs/>
          <w:color w:val="0A0A0A"/>
          <w:sz w:val="30"/>
          <w:szCs w:val="30"/>
          <w:lang w:eastAsia="ru-RU"/>
        </w:rPr>
      </w:pPr>
      <w:r w:rsidRPr="006B1ED8">
        <w:rPr>
          <w:rFonts w:ascii="Georgia" w:eastAsia="Times New Roman" w:hAnsi="Georgia" w:cs="Times New Roman"/>
          <w:b/>
          <w:bCs/>
          <w:color w:val="0A0A0A"/>
          <w:sz w:val="30"/>
          <w:szCs w:val="30"/>
          <w:lang w:eastAsia="ru-RU"/>
        </w:rPr>
        <w:t>В уведомлении указываются следующие сведения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1. </w:t>
      </w:r>
      <w:r w:rsidRPr="006B1ED8">
        <w:rPr>
          <w:rFonts w:ascii="Arial" w:eastAsia="Times New Roman" w:hAnsi="Arial" w:cs="Arial"/>
          <w:color w:val="0A0A0A"/>
          <w:sz w:val="27"/>
          <w:szCs w:val="27"/>
          <w:lang w:eastAsia="ru-RU"/>
        </w:rPr>
        <w:t>Наименование (Ф.И.О.), адрес оператора.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2. </w:t>
      </w:r>
      <w:r w:rsidRPr="006B1ED8">
        <w:rPr>
          <w:rFonts w:ascii="Arial" w:eastAsia="Times New Roman" w:hAnsi="Arial" w:cs="Arial"/>
          <w:color w:val="0A0A0A"/>
          <w:sz w:val="27"/>
          <w:szCs w:val="27"/>
          <w:lang w:eastAsia="ru-RU"/>
        </w:rPr>
        <w:t>Правовое основание обработки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В этой графе рекомендуется указать весь перечень нормативных правовых актов, которые закрепляют основания и порядок обработки оператором персональных данных и соответствуют его полномочиям. Не рекомендуется указывать в качестве правового основания ч. 1 ст. 6 Закона № 152-ФЗ.</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3. </w:t>
      </w:r>
      <w:r w:rsidRPr="006B1ED8">
        <w:rPr>
          <w:rFonts w:ascii="Arial" w:eastAsia="Times New Roman" w:hAnsi="Arial" w:cs="Arial"/>
          <w:color w:val="0A0A0A"/>
          <w:sz w:val="27"/>
          <w:szCs w:val="27"/>
          <w:lang w:eastAsia="ru-RU"/>
        </w:rPr>
        <w:t>Цель обработки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Согласно п. 3.1.2 Рекомендаций в этой графе следует указать цели обработки персональных данных, а также их соответствие деятельности, при которой такая обработка осуществляется.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4. </w:t>
      </w:r>
      <w:r w:rsidRPr="006B1ED8">
        <w:rPr>
          <w:rFonts w:ascii="Arial" w:eastAsia="Times New Roman" w:hAnsi="Arial" w:cs="Arial"/>
          <w:color w:val="0A0A0A"/>
          <w:sz w:val="27"/>
          <w:szCs w:val="27"/>
          <w:lang w:eastAsia="ru-RU"/>
        </w:rPr>
        <w:t>Категории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К ним могут быть </w:t>
      </w:r>
      <w:proofErr w:type="gramStart"/>
      <w:r w:rsidRPr="006B1ED8">
        <w:rPr>
          <w:rFonts w:ascii="Arial" w:eastAsia="Times New Roman" w:hAnsi="Arial" w:cs="Arial"/>
          <w:color w:val="0A0A0A"/>
          <w:sz w:val="27"/>
          <w:szCs w:val="27"/>
          <w:lang w:eastAsia="ru-RU"/>
        </w:rPr>
        <w:t>отнесены</w:t>
      </w:r>
      <w:proofErr w:type="gramEnd"/>
      <w:r w:rsidRPr="006B1ED8">
        <w:rPr>
          <w:rFonts w:ascii="Arial" w:eastAsia="Times New Roman" w:hAnsi="Arial" w:cs="Arial"/>
          <w:color w:val="0A0A0A"/>
          <w:sz w:val="27"/>
          <w:szCs w:val="27"/>
          <w:lang w:eastAsia="ru-RU"/>
        </w:rPr>
        <w:t xml:space="preserve"> (п. п. 2.5 - 2.7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proofErr w:type="gramStart"/>
      <w:r w:rsidRPr="006B1ED8">
        <w:rPr>
          <w:rFonts w:ascii="Arial" w:eastAsia="Times New Roman" w:hAnsi="Arial" w:cs="Arial"/>
          <w:color w:val="0A0A0A"/>
          <w:sz w:val="27"/>
          <w:szCs w:val="27"/>
          <w:lang w:eastAsia="ru-RU"/>
        </w:rPr>
        <w:t xml:space="preserve">- персональные данные - любая информация, относящаяся к прямо или косвенно определенному или определяемому физическому лицу </w:t>
      </w:r>
      <w:r w:rsidRPr="006B1ED8">
        <w:rPr>
          <w:rFonts w:ascii="Arial" w:eastAsia="Times New Roman" w:hAnsi="Arial" w:cs="Arial"/>
          <w:color w:val="0A0A0A"/>
          <w:sz w:val="27"/>
          <w:szCs w:val="27"/>
          <w:lang w:eastAsia="ru-RU"/>
        </w:rPr>
        <w:lastRenderedPageBreak/>
        <w:t>(субъекту персональных данных): фамилия, имя, отчество, год, месяц, дата рождения, место рождения, адрес, семейное положение, социальное положение, имущественное положение, образование, профессия, доходы, иная информация;</w:t>
      </w:r>
      <w:proofErr w:type="gramEnd"/>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специальные категории персональных данных (расовая или национальная принадлежность, политические взгляды, религиозные или философские убеждения, состояние здоровья, интимной жизни). Случаи, когда допускается обработка специальных категорий персональных данных, установлены ч. 2, ч. 2.1 ст. 10 Закона;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 биометрические персональные данные (сведения, характеризующие физиологические и биологические особенности человека, на основе которых можно установить его личность и которые используются оператором для установления личности субъекта персональных данных). К ним относятся физиологические параметры (дактилоскопические данные, радужная оболочка глаз, анализы ДНК, голос и др.), а также иные физиологические или биологические характеристики человека, в том числе его изображения (фотография и видеозапись) (Письма </w:t>
      </w:r>
      <w:proofErr w:type="spellStart"/>
      <w:r w:rsidRPr="006B1ED8">
        <w:rPr>
          <w:rFonts w:ascii="Arial" w:eastAsia="Times New Roman" w:hAnsi="Arial" w:cs="Arial"/>
          <w:color w:val="0A0A0A"/>
          <w:sz w:val="27"/>
          <w:szCs w:val="27"/>
          <w:lang w:eastAsia="ru-RU"/>
        </w:rPr>
        <w:t>Минцифры</w:t>
      </w:r>
      <w:proofErr w:type="spellEnd"/>
      <w:r w:rsidRPr="006B1ED8">
        <w:rPr>
          <w:rFonts w:ascii="Arial" w:eastAsia="Times New Roman" w:hAnsi="Arial" w:cs="Arial"/>
          <w:color w:val="0A0A0A"/>
          <w:sz w:val="27"/>
          <w:szCs w:val="27"/>
          <w:lang w:eastAsia="ru-RU"/>
        </w:rPr>
        <w:t xml:space="preserve"> России от 17.07.2020 № ОП-П24-070-19433,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от 10.02.2020 № 08АП-6782). Биометрические персональные данные могут обрабатываться оператором только при наличии письменного согласия субъекта персональных данных (за исключением случаев, установленных в ч. 2 ст. 11 Закона) (ч. 1 ст. 11 Закона).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5. </w:t>
      </w:r>
      <w:r w:rsidRPr="006B1ED8">
        <w:rPr>
          <w:rFonts w:ascii="Arial" w:eastAsia="Times New Roman" w:hAnsi="Arial" w:cs="Arial"/>
          <w:color w:val="0A0A0A"/>
          <w:sz w:val="27"/>
          <w:szCs w:val="27"/>
          <w:lang w:eastAsia="ru-RU"/>
        </w:rPr>
        <w:t>Категории субъектов, персональные данные которых обрабатываются.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Согласно п. 3.1.4 Рекомендаций в этой графе указываются категории субъектов и виды отношений с ними (физическими лицами), например:</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работники (субъекты), состоящие в трудовых отношениях с юридическим лицом (оператором);</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физические лица (абонент, пассажир, заемщик, вкладчик, страхователь, заказчик и др.), состоящие в договорных и иных гражданско-правовых отношениях с юридическим лицом (оператором).</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6. </w:t>
      </w:r>
      <w:r w:rsidRPr="006B1ED8">
        <w:rPr>
          <w:rFonts w:ascii="Arial" w:eastAsia="Times New Roman" w:hAnsi="Arial" w:cs="Arial"/>
          <w:color w:val="0A0A0A"/>
          <w:sz w:val="27"/>
          <w:szCs w:val="27"/>
          <w:lang w:eastAsia="ru-RU"/>
        </w:rPr>
        <w:t>Перечень действий с персональными данными, общее описание используемых оператором способов их обработки.</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В этой графе указываются действия оператора и описания используемых способов обработки персональных данных (п. 3.1.6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неавтоматизированная обработка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исключительно автоматизированная обработка персональных данных с передачей полученной информации по сети или без таковой;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lastRenderedPageBreak/>
        <w:t>- смешанная обработка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7. </w:t>
      </w:r>
      <w:r w:rsidRPr="006B1ED8">
        <w:rPr>
          <w:rFonts w:ascii="Arial" w:eastAsia="Times New Roman" w:hAnsi="Arial" w:cs="Arial"/>
          <w:color w:val="0A0A0A"/>
          <w:sz w:val="27"/>
          <w:szCs w:val="27"/>
          <w:lang w:eastAsia="ru-RU"/>
        </w:rPr>
        <w:t>Описание мер, предусмотренных ст. ст. 18.1 и 19 Закона.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proofErr w:type="gramStart"/>
      <w:r w:rsidRPr="006B1ED8">
        <w:rPr>
          <w:rFonts w:ascii="Arial" w:eastAsia="Times New Roman" w:hAnsi="Arial" w:cs="Arial"/>
          <w:color w:val="0A0A0A"/>
          <w:sz w:val="27"/>
          <w:szCs w:val="27"/>
          <w:lang w:eastAsia="ru-RU"/>
        </w:rPr>
        <w:t>В этой графе оператор приводит (п. 3.1.7 Рекомендаций) описание мер, предусмотренных ст. ст. 18.1 и 19 Закона, предполагает указание организационных и технических мер, применяемых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в том числе сведения о наличии шифровальных (криптографических) средств и наименования этих средств.</w:t>
      </w:r>
      <w:proofErr w:type="gramEnd"/>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8. </w:t>
      </w:r>
      <w:r w:rsidRPr="006B1ED8">
        <w:rPr>
          <w:rFonts w:ascii="Arial" w:eastAsia="Times New Roman" w:hAnsi="Arial" w:cs="Arial"/>
          <w:color w:val="0A0A0A"/>
          <w:sz w:val="27"/>
          <w:szCs w:val="27"/>
          <w:lang w:eastAsia="ru-RU"/>
        </w:rPr>
        <w:t>Дата начала обработки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В этой графе рекомендуется указывать конкретную дату (число, месяц, год) начала любого действия (операции) или совокупности действий (операций), совершаемых с использованием средств автоматизации или без использования таких сре</w:t>
      </w:r>
      <w:proofErr w:type="gramStart"/>
      <w:r w:rsidRPr="006B1ED8">
        <w:rPr>
          <w:rFonts w:ascii="Arial" w:eastAsia="Times New Roman" w:hAnsi="Arial" w:cs="Arial"/>
          <w:color w:val="0A0A0A"/>
          <w:sz w:val="27"/>
          <w:szCs w:val="27"/>
          <w:lang w:eastAsia="ru-RU"/>
        </w:rPr>
        <w:t>дств с п</w:t>
      </w:r>
      <w:proofErr w:type="gramEnd"/>
      <w:r w:rsidRPr="006B1ED8">
        <w:rPr>
          <w:rFonts w:ascii="Arial" w:eastAsia="Times New Roman" w:hAnsi="Arial" w:cs="Arial"/>
          <w:color w:val="0A0A0A"/>
          <w:sz w:val="27"/>
          <w:szCs w:val="27"/>
          <w:lang w:eastAsia="ru-RU"/>
        </w:rPr>
        <w:t>ерсональными данными (как правило, это дата начала осуществления оператором деятельности, закрепленной в уставных документах) (п. 3.1.9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9. </w:t>
      </w:r>
      <w:r w:rsidRPr="006B1ED8">
        <w:rPr>
          <w:rFonts w:ascii="Arial" w:eastAsia="Times New Roman" w:hAnsi="Arial" w:cs="Arial"/>
          <w:color w:val="0A0A0A"/>
          <w:sz w:val="27"/>
          <w:szCs w:val="27"/>
          <w:lang w:eastAsia="ru-RU"/>
        </w:rPr>
        <w:t>Срок или условие прекращения обработки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10. </w:t>
      </w:r>
      <w:r w:rsidRPr="006B1ED8">
        <w:rPr>
          <w:rFonts w:ascii="Arial" w:eastAsia="Times New Roman" w:hAnsi="Arial" w:cs="Arial"/>
          <w:color w:val="0A0A0A"/>
          <w:sz w:val="27"/>
          <w:szCs w:val="27"/>
          <w:lang w:eastAsia="ru-RU"/>
        </w:rPr>
        <w:t>Сведения о наличии или отсутствии трансграничной передачи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11. </w:t>
      </w:r>
      <w:r w:rsidRPr="006B1ED8">
        <w:rPr>
          <w:rFonts w:ascii="Arial" w:eastAsia="Times New Roman" w:hAnsi="Arial" w:cs="Arial"/>
          <w:color w:val="0A0A0A"/>
          <w:sz w:val="27"/>
          <w:szCs w:val="27"/>
          <w:lang w:eastAsia="ru-RU"/>
        </w:rPr>
        <w:t>Сведения о месте нахождения базы данных информации, содержащей персональные данные граждан РФ.</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b/>
          <w:bCs/>
          <w:color w:val="0A0A0A"/>
          <w:sz w:val="27"/>
          <w:szCs w:val="27"/>
          <w:lang w:eastAsia="ru-RU"/>
        </w:rPr>
        <w:t>12. </w:t>
      </w:r>
      <w:r w:rsidRPr="006B1ED8">
        <w:rPr>
          <w:rFonts w:ascii="Arial" w:eastAsia="Times New Roman" w:hAnsi="Arial" w:cs="Arial"/>
          <w:color w:val="0A0A0A"/>
          <w:sz w:val="27"/>
          <w:szCs w:val="27"/>
          <w:lang w:eastAsia="ru-RU"/>
        </w:rPr>
        <w:t>Сведения об обеспечении безопасности персональных данных.</w:t>
      </w:r>
    </w:p>
    <w:p w:rsidR="006B1ED8" w:rsidRPr="006B1ED8" w:rsidRDefault="006B1ED8" w:rsidP="006B1ED8">
      <w:pPr>
        <w:shd w:val="clear" w:color="auto" w:fill="FFFFFF"/>
        <w:spacing w:before="360" w:after="240" w:line="420" w:lineRule="atLeast"/>
        <w:outlineLvl w:val="2"/>
        <w:rPr>
          <w:rFonts w:ascii="Georgia" w:eastAsia="Times New Roman" w:hAnsi="Georgia" w:cs="Times New Roman"/>
          <w:b/>
          <w:bCs/>
          <w:color w:val="0A0A0A"/>
          <w:sz w:val="30"/>
          <w:szCs w:val="30"/>
          <w:lang w:eastAsia="ru-RU"/>
        </w:rPr>
      </w:pPr>
      <w:r w:rsidRPr="006B1ED8">
        <w:rPr>
          <w:rFonts w:ascii="Georgia" w:eastAsia="Times New Roman" w:hAnsi="Georgia" w:cs="Times New Roman"/>
          <w:b/>
          <w:bCs/>
          <w:color w:val="0A0A0A"/>
          <w:sz w:val="30"/>
          <w:szCs w:val="30"/>
          <w:lang w:eastAsia="ru-RU"/>
        </w:rPr>
        <w:t>Способы передачи уведомления и внесение сведений в реестр</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объявил о приостановке очных форматов взаимодействия из-за угрозы распространения </w:t>
      </w:r>
      <w:proofErr w:type="spellStart"/>
      <w:r w:rsidRPr="006B1ED8">
        <w:rPr>
          <w:rFonts w:ascii="Arial" w:eastAsia="Times New Roman" w:hAnsi="Arial" w:cs="Arial"/>
          <w:color w:val="0A0A0A"/>
          <w:sz w:val="27"/>
          <w:szCs w:val="27"/>
          <w:lang w:eastAsia="ru-RU"/>
        </w:rPr>
        <w:t>коронавируса</w:t>
      </w:r>
      <w:proofErr w:type="spellEnd"/>
      <w:r w:rsidRPr="006B1ED8">
        <w:rPr>
          <w:rFonts w:ascii="Arial" w:eastAsia="Times New Roman" w:hAnsi="Arial" w:cs="Arial"/>
          <w:color w:val="0A0A0A"/>
          <w:sz w:val="27"/>
          <w:szCs w:val="27"/>
          <w:lang w:eastAsia="ru-RU"/>
        </w:rPr>
        <w:t xml:space="preserve">. Для организации взаимодействия рекомендуется обращаться в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w:t>
      </w:r>
    </w:p>
    <w:p w:rsidR="006B1ED8" w:rsidRPr="006B1ED8" w:rsidRDefault="006B1ED8" w:rsidP="006B1ED8">
      <w:pPr>
        <w:numPr>
          <w:ilvl w:val="0"/>
          <w:numId w:val="3"/>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в электронной форме через электронную почту (rsoc_in@rkn.gov.ru);</w:t>
      </w:r>
    </w:p>
    <w:p w:rsidR="006B1ED8" w:rsidRPr="006B1ED8" w:rsidRDefault="006B1ED8" w:rsidP="006B1ED8">
      <w:pPr>
        <w:numPr>
          <w:ilvl w:val="0"/>
          <w:numId w:val="3"/>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официальный сайт (www.rkn.gov.ru);</w:t>
      </w:r>
    </w:p>
    <w:p w:rsidR="006B1ED8" w:rsidRPr="006B1ED8" w:rsidRDefault="006B1ED8" w:rsidP="006B1ED8">
      <w:pPr>
        <w:numPr>
          <w:ilvl w:val="0"/>
          <w:numId w:val="3"/>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 xml:space="preserve">портал </w:t>
      </w:r>
      <w:proofErr w:type="spellStart"/>
      <w:r w:rsidRPr="006B1ED8">
        <w:rPr>
          <w:rFonts w:ascii="Arial" w:eastAsia="Times New Roman" w:hAnsi="Arial" w:cs="Arial"/>
          <w:color w:val="000000"/>
          <w:sz w:val="27"/>
          <w:szCs w:val="27"/>
          <w:lang w:eastAsia="ru-RU"/>
        </w:rPr>
        <w:t>госуслуг</w:t>
      </w:r>
      <w:proofErr w:type="spellEnd"/>
      <w:r w:rsidRPr="006B1ED8">
        <w:rPr>
          <w:rFonts w:ascii="Arial" w:eastAsia="Times New Roman" w:hAnsi="Arial" w:cs="Arial"/>
          <w:color w:val="000000"/>
          <w:sz w:val="27"/>
          <w:szCs w:val="27"/>
          <w:lang w:eastAsia="ru-RU"/>
        </w:rPr>
        <w:t xml:space="preserve"> (www.gosuslugi.ru);</w:t>
      </w:r>
    </w:p>
    <w:p w:rsidR="006B1ED8" w:rsidRPr="006B1ED8" w:rsidRDefault="006B1ED8" w:rsidP="006B1ED8">
      <w:pPr>
        <w:numPr>
          <w:ilvl w:val="0"/>
          <w:numId w:val="3"/>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 xml:space="preserve">портал операторов связи, расположенный на сайте </w:t>
      </w:r>
      <w:proofErr w:type="spellStart"/>
      <w:r w:rsidRPr="006B1ED8">
        <w:rPr>
          <w:rFonts w:ascii="Arial" w:eastAsia="Times New Roman" w:hAnsi="Arial" w:cs="Arial"/>
          <w:color w:val="000000"/>
          <w:sz w:val="27"/>
          <w:szCs w:val="27"/>
          <w:lang w:eastAsia="ru-RU"/>
        </w:rPr>
        <w:t>Роскомнадзора</w:t>
      </w:r>
      <w:proofErr w:type="spellEnd"/>
      <w:r w:rsidRPr="006B1ED8">
        <w:rPr>
          <w:rFonts w:ascii="Arial" w:eastAsia="Times New Roman" w:hAnsi="Arial" w:cs="Arial"/>
          <w:color w:val="000000"/>
          <w:sz w:val="27"/>
          <w:szCs w:val="27"/>
          <w:lang w:eastAsia="ru-RU"/>
        </w:rPr>
        <w:t>;</w:t>
      </w:r>
    </w:p>
    <w:p w:rsidR="006B1ED8" w:rsidRPr="006B1ED8" w:rsidRDefault="006B1ED8" w:rsidP="006B1ED8">
      <w:pPr>
        <w:numPr>
          <w:ilvl w:val="0"/>
          <w:numId w:val="3"/>
        </w:numPr>
        <w:shd w:val="clear" w:color="auto" w:fill="FFFFFF"/>
        <w:spacing w:after="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в письменной форме через Почту России.</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Контактная информация территориальных органов уполномоченного органа приведена </w:t>
      </w:r>
      <w:hyperlink r:id="rId6" w:tgtFrame="_blank" w:history="1">
        <w:r w:rsidRPr="006B1ED8">
          <w:rPr>
            <w:rFonts w:ascii="Arial" w:eastAsia="Times New Roman" w:hAnsi="Arial" w:cs="Arial"/>
            <w:color w:val="316FEE"/>
            <w:sz w:val="27"/>
            <w:szCs w:val="27"/>
            <w:bdr w:val="none" w:sz="0" w:space="0" w:color="auto" w:frame="1"/>
            <w:lang w:eastAsia="ru-RU"/>
          </w:rPr>
          <w:t>на сайте Роскомнадзора</w:t>
        </w:r>
      </w:hyperlink>
      <w:r w:rsidRPr="006B1ED8">
        <w:rPr>
          <w:rFonts w:ascii="Arial" w:eastAsia="Times New Roman" w:hAnsi="Arial" w:cs="Arial"/>
          <w:color w:val="0A0A0A"/>
          <w:sz w:val="27"/>
          <w:szCs w:val="27"/>
          <w:lang w:eastAsia="ru-RU"/>
        </w:rPr>
        <w:t> http://rkn.gov.ru и </w:t>
      </w:r>
      <w:hyperlink r:id="rId7" w:tgtFrame="_blank" w:history="1">
        <w:r w:rsidRPr="006B1ED8">
          <w:rPr>
            <w:rFonts w:ascii="Arial" w:eastAsia="Times New Roman" w:hAnsi="Arial" w:cs="Arial"/>
            <w:color w:val="316FEE"/>
            <w:sz w:val="27"/>
            <w:szCs w:val="27"/>
            <w:bdr w:val="none" w:sz="0" w:space="0" w:color="auto" w:frame="1"/>
            <w:lang w:eastAsia="ru-RU"/>
          </w:rPr>
          <w:t>на портале персональных данных</w:t>
        </w:r>
      </w:hyperlink>
      <w:r w:rsidRPr="006B1ED8">
        <w:rPr>
          <w:rFonts w:ascii="Arial" w:eastAsia="Times New Roman" w:hAnsi="Arial" w:cs="Arial"/>
          <w:color w:val="0A0A0A"/>
          <w:sz w:val="27"/>
          <w:szCs w:val="27"/>
          <w:lang w:eastAsia="ru-RU"/>
        </w:rPr>
        <w:t> http://pd.rkn.gov.ru</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lastRenderedPageBreak/>
        <w:t xml:space="preserve">В соответствии с ч. 3 ст. 22 Закона оператор вправе составить и направить в уполномоченный орган уведомление в форме электронного документа, подписанного уполномоченным лицом. Для этого может быть использован официальный сайт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(www.rkn.gov.ru), а именно портал персональных данных (www.pd.rkn.gov.ru) (п. п. 2.2, 2.3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Согласно п. 3.2 Рекомендаций электронная форма уведомления и порядок ее заполнения размещены на указанном портале персональных данных.</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В течение </w:t>
      </w:r>
      <w:r w:rsidRPr="006B1ED8">
        <w:rPr>
          <w:rFonts w:ascii="Arial" w:eastAsia="Times New Roman" w:hAnsi="Arial" w:cs="Arial"/>
          <w:b/>
          <w:bCs/>
          <w:color w:val="0A0A0A"/>
          <w:sz w:val="27"/>
          <w:szCs w:val="27"/>
          <w:lang w:eastAsia="ru-RU"/>
        </w:rPr>
        <w:t>30 дней</w:t>
      </w:r>
      <w:r w:rsidRPr="006B1ED8">
        <w:rPr>
          <w:rFonts w:ascii="Arial" w:eastAsia="Times New Roman" w:hAnsi="Arial" w:cs="Arial"/>
          <w:color w:val="0A0A0A"/>
          <w:sz w:val="27"/>
          <w:szCs w:val="27"/>
          <w:lang w:eastAsia="ru-RU"/>
        </w:rPr>
        <w:t> </w:t>
      </w:r>
      <w:proofErr w:type="gramStart"/>
      <w:r w:rsidRPr="006B1ED8">
        <w:rPr>
          <w:rFonts w:ascii="Arial" w:eastAsia="Times New Roman" w:hAnsi="Arial" w:cs="Arial"/>
          <w:color w:val="0A0A0A"/>
          <w:sz w:val="27"/>
          <w:szCs w:val="27"/>
          <w:lang w:eastAsia="ru-RU"/>
        </w:rPr>
        <w:t>с даты поступления</w:t>
      </w:r>
      <w:proofErr w:type="gramEnd"/>
      <w:r w:rsidRPr="006B1ED8">
        <w:rPr>
          <w:rFonts w:ascii="Arial" w:eastAsia="Times New Roman" w:hAnsi="Arial" w:cs="Arial"/>
          <w:color w:val="0A0A0A"/>
          <w:sz w:val="27"/>
          <w:szCs w:val="27"/>
          <w:lang w:eastAsia="ru-RU"/>
        </w:rPr>
        <w:t xml:space="preserve"> уведомления уполномоченный орган вносит содержащиеся в нем сведения (а также сведения о дате направления уведомления) в реестр операторов, осуществляющих обработку персональных данных (ч. 4 ст. 22 Закона).</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Информация о внесении сведений об операторе в реестр размещается на официальном сайте и портале персональных данных (п. 3.5 Рекомендаций).</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Сведения об операторе, содержащиеся в реестре, являются общедоступными. Они размещаются для ознакомления на официальном сайте и портале персональных данных </w:t>
      </w:r>
      <w:proofErr w:type="spellStart"/>
      <w:r w:rsidRPr="006B1ED8">
        <w:rPr>
          <w:rFonts w:ascii="Arial" w:eastAsia="Times New Roman" w:hAnsi="Arial" w:cs="Arial"/>
          <w:color w:val="0A0A0A"/>
          <w:sz w:val="27"/>
          <w:szCs w:val="27"/>
          <w:lang w:eastAsia="ru-RU"/>
        </w:rPr>
        <w:t>Роскомнадзора</w:t>
      </w:r>
      <w:proofErr w:type="spellEnd"/>
      <w:r w:rsidRPr="006B1ED8">
        <w:rPr>
          <w:rFonts w:ascii="Arial" w:eastAsia="Times New Roman" w:hAnsi="Arial" w:cs="Arial"/>
          <w:color w:val="0A0A0A"/>
          <w:sz w:val="27"/>
          <w:szCs w:val="27"/>
          <w:lang w:eastAsia="ru-RU"/>
        </w:rPr>
        <w:t xml:space="preserve">. Ни Законом, ни Рекомендациями не предусмотрена обязательная выдача оператору какого-либо документа, подтверждающего подачу уведомления и факт внесения в реестр соответствующих сведений. В то же время любое заинтересованное лицо может по собственной инициативе получить выписку из реестра. Для этого в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(его территориальный орган по месту регистрации оператора в налоговом органе) необходимо направить заявление. Его форма определенна в Приложении 4 к Рекомендациям (п. п. 6.1, 6.2 Рекомендаций).</w:t>
      </w:r>
    </w:p>
    <w:p w:rsidR="006B1ED8" w:rsidRPr="006B1ED8" w:rsidRDefault="006B1ED8" w:rsidP="006B1ED8">
      <w:pPr>
        <w:shd w:val="clear" w:color="auto" w:fill="FFFFFF"/>
        <w:spacing w:before="360" w:after="240" w:line="420" w:lineRule="atLeast"/>
        <w:outlineLvl w:val="2"/>
        <w:rPr>
          <w:rFonts w:ascii="Georgia" w:eastAsia="Times New Roman" w:hAnsi="Georgia" w:cs="Times New Roman"/>
          <w:b/>
          <w:bCs/>
          <w:color w:val="0A0A0A"/>
          <w:sz w:val="30"/>
          <w:szCs w:val="30"/>
          <w:lang w:eastAsia="ru-RU"/>
        </w:rPr>
      </w:pPr>
      <w:r w:rsidRPr="006B1ED8">
        <w:rPr>
          <w:rFonts w:ascii="Georgia" w:eastAsia="Times New Roman" w:hAnsi="Georgia" w:cs="Times New Roman"/>
          <w:b/>
          <w:bCs/>
          <w:color w:val="0A0A0A"/>
          <w:sz w:val="30"/>
          <w:szCs w:val="30"/>
          <w:lang w:eastAsia="ru-RU"/>
        </w:rPr>
        <w:t>Что ещё можно до 01.09.2022 и потом станет нельзя без уведомления</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Согласно ч. 1 ст. 22 Закона № 152-ФЗ до начала обработки персональных данных оператор должен уведомить о своем намерении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Часть 2 этой же статьи предусматривает ряд случаев, когда уведомлять необязательно. С 1 сентября 2022 года этот список исключений станет меньше, из него уберут случаи обработки персональных данных:</w:t>
      </w:r>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proofErr w:type="gramStart"/>
      <w:r w:rsidRPr="006B1ED8">
        <w:rPr>
          <w:rFonts w:ascii="Arial" w:eastAsia="Times New Roman" w:hAnsi="Arial" w:cs="Arial"/>
          <w:color w:val="000000"/>
          <w:sz w:val="27"/>
          <w:szCs w:val="27"/>
          <w:lang w:eastAsia="ru-RU"/>
        </w:rPr>
        <w:t>обрабатываемых</w:t>
      </w:r>
      <w:proofErr w:type="gramEnd"/>
      <w:r w:rsidRPr="006B1ED8">
        <w:rPr>
          <w:rFonts w:ascii="Arial" w:eastAsia="Times New Roman" w:hAnsi="Arial" w:cs="Arial"/>
          <w:color w:val="000000"/>
          <w:sz w:val="27"/>
          <w:szCs w:val="27"/>
          <w:lang w:eastAsia="ru-RU"/>
        </w:rPr>
        <w:t xml:space="preserve"> в соответствии с трудовым законодательством;</w:t>
      </w:r>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 xml:space="preserve">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Pr="006B1ED8">
        <w:rPr>
          <w:rFonts w:ascii="Arial" w:eastAsia="Times New Roman" w:hAnsi="Arial" w:cs="Arial"/>
          <w:color w:val="000000"/>
          <w:sz w:val="27"/>
          <w:szCs w:val="27"/>
          <w:lang w:eastAsia="ru-RU"/>
        </w:rPr>
        <w:lastRenderedPageBreak/>
        <w:t>оператором исключительно для исполнения указанного договора и заключения договоров с субъектом персональных данных;</w:t>
      </w:r>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proofErr w:type="gramStart"/>
      <w:r w:rsidRPr="006B1ED8">
        <w:rPr>
          <w:rFonts w:ascii="Arial" w:eastAsia="Times New Roman" w:hAnsi="Arial" w:cs="Arial"/>
          <w:color w:val="000000"/>
          <w:sz w:val="27"/>
          <w:szCs w:val="27"/>
          <w:lang w:eastAsia="ru-RU"/>
        </w:rPr>
        <w:t>относящихся к членам (участникам) общественного объединения или религиозной организации и обрабатываемых соответствующим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разрешенных субъектом персональных данных для распространения при условии соблюдения оператором запретов и условий, предусмотренных статьей 10.1 Закона № 152-ФЗ;</w:t>
      </w:r>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включающих в себя только фамилии, имена и отчества субъектов персональных данных;</w:t>
      </w:r>
    </w:p>
    <w:p w:rsidR="006B1ED8" w:rsidRPr="006B1ED8" w:rsidRDefault="006B1ED8" w:rsidP="006B1ED8">
      <w:pPr>
        <w:numPr>
          <w:ilvl w:val="0"/>
          <w:numId w:val="4"/>
        </w:numPr>
        <w:shd w:val="clear" w:color="auto" w:fill="FFFFFF"/>
        <w:spacing w:after="12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B1ED8" w:rsidRPr="006B1ED8" w:rsidRDefault="006B1ED8" w:rsidP="006B1ED8">
      <w:pPr>
        <w:numPr>
          <w:ilvl w:val="0"/>
          <w:numId w:val="4"/>
        </w:numPr>
        <w:shd w:val="clear" w:color="auto" w:fill="FFFFFF"/>
        <w:spacing w:after="0" w:line="240" w:lineRule="auto"/>
        <w:ind w:left="0"/>
        <w:rPr>
          <w:rFonts w:ascii="Arial" w:eastAsia="Times New Roman" w:hAnsi="Arial" w:cs="Arial"/>
          <w:color w:val="000000"/>
          <w:sz w:val="27"/>
          <w:szCs w:val="27"/>
          <w:lang w:eastAsia="ru-RU"/>
        </w:rPr>
      </w:pPr>
      <w:r w:rsidRPr="006B1ED8">
        <w:rPr>
          <w:rFonts w:ascii="Arial" w:eastAsia="Times New Roman" w:hAnsi="Arial" w:cs="Arial"/>
          <w:color w:val="000000"/>
          <w:sz w:val="27"/>
          <w:szCs w:val="27"/>
          <w:lang w:eastAsia="ru-RU"/>
        </w:rPr>
        <w:t>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w:t>
      </w:r>
    </w:p>
    <w:p w:rsidR="006B1ED8" w:rsidRPr="006B1ED8" w:rsidRDefault="006B1ED8" w:rsidP="006B1ED8">
      <w:pPr>
        <w:shd w:val="clear" w:color="auto" w:fill="FFFFFF"/>
        <w:spacing w:before="360" w:after="240" w:line="420" w:lineRule="atLeast"/>
        <w:outlineLvl w:val="2"/>
        <w:rPr>
          <w:rFonts w:ascii="Georgia" w:eastAsia="Times New Roman" w:hAnsi="Georgia" w:cs="Times New Roman"/>
          <w:b/>
          <w:bCs/>
          <w:color w:val="0A0A0A"/>
          <w:sz w:val="30"/>
          <w:szCs w:val="30"/>
          <w:lang w:eastAsia="ru-RU"/>
        </w:rPr>
      </w:pPr>
      <w:r w:rsidRPr="006B1ED8">
        <w:rPr>
          <w:rFonts w:ascii="Georgia" w:eastAsia="Times New Roman" w:hAnsi="Georgia" w:cs="Times New Roman"/>
          <w:b/>
          <w:bCs/>
          <w:color w:val="0A0A0A"/>
          <w:sz w:val="30"/>
          <w:szCs w:val="30"/>
          <w:lang w:eastAsia="ru-RU"/>
        </w:rPr>
        <w:t>Кто по-прежнему после 01.09.2022 не должен подавать уведомление о включении в реестр?</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proofErr w:type="gramStart"/>
      <w:r w:rsidRPr="006B1ED8">
        <w:rPr>
          <w:rFonts w:ascii="Arial" w:eastAsia="Times New Roman" w:hAnsi="Arial" w:cs="Arial"/>
          <w:color w:val="0A0A0A"/>
          <w:sz w:val="27"/>
          <w:szCs w:val="27"/>
          <w:lang w:eastAsia="ru-RU"/>
        </w:rPr>
        <w:t>Обязанность включаться в реестр по-прежнему не возникает у тех, кто осуществляет деятельность по обработке персональных данных </w:t>
      </w:r>
      <w:r w:rsidRPr="006B1ED8">
        <w:rPr>
          <w:rFonts w:ascii="Arial" w:eastAsia="Times New Roman" w:hAnsi="Arial" w:cs="Arial"/>
          <w:b/>
          <w:bCs/>
          <w:color w:val="0A0A0A"/>
          <w:sz w:val="27"/>
          <w:szCs w:val="27"/>
          <w:lang w:eastAsia="ru-RU"/>
        </w:rPr>
        <w:t>исключительно без использования средств автоматизации </w:t>
      </w:r>
      <w:r w:rsidRPr="006B1ED8">
        <w:rPr>
          <w:rFonts w:ascii="Arial" w:eastAsia="Times New Roman" w:hAnsi="Arial" w:cs="Arial"/>
          <w:color w:val="0A0A0A"/>
          <w:sz w:val="27"/>
          <w:szCs w:val="27"/>
          <w:lang w:eastAsia="ru-RU"/>
        </w:rPr>
        <w:t>(то есть без использования компьютера, на только лишь бумаге), </w:t>
      </w:r>
      <w:r w:rsidRPr="006B1ED8">
        <w:rPr>
          <w:rFonts w:ascii="Arial" w:eastAsia="Times New Roman" w:hAnsi="Arial" w:cs="Arial"/>
          <w:b/>
          <w:bCs/>
          <w:color w:val="0A0A0A"/>
          <w:sz w:val="27"/>
          <w:szCs w:val="27"/>
          <w:lang w:eastAsia="ru-RU"/>
        </w:rPr>
        <w:t>лиц, которые являются операторами государственных информационных систем в области безопасности</w:t>
      </w:r>
      <w:r w:rsidRPr="006B1ED8">
        <w:rPr>
          <w:rFonts w:ascii="Arial" w:eastAsia="Times New Roman" w:hAnsi="Arial" w:cs="Arial"/>
          <w:color w:val="0A0A0A"/>
          <w:sz w:val="27"/>
          <w:szCs w:val="27"/>
          <w:lang w:eastAsia="ru-RU"/>
        </w:rPr>
        <w:t>, а также </w:t>
      </w:r>
      <w:r w:rsidRPr="006B1ED8">
        <w:rPr>
          <w:rFonts w:ascii="Arial" w:eastAsia="Times New Roman" w:hAnsi="Arial" w:cs="Arial"/>
          <w:b/>
          <w:bCs/>
          <w:color w:val="0A0A0A"/>
          <w:sz w:val="27"/>
          <w:szCs w:val="27"/>
          <w:lang w:eastAsia="ru-RU"/>
        </w:rPr>
        <w:t>лиц</w:t>
      </w:r>
      <w:r w:rsidRPr="006B1ED8">
        <w:rPr>
          <w:rFonts w:ascii="Arial" w:eastAsia="Times New Roman" w:hAnsi="Arial" w:cs="Arial"/>
          <w:color w:val="0A0A0A"/>
          <w:sz w:val="27"/>
          <w:szCs w:val="27"/>
          <w:lang w:eastAsia="ru-RU"/>
        </w:rPr>
        <w:t>, обрабатывающих данные в соответствии с законодательством о </w:t>
      </w:r>
      <w:r w:rsidRPr="006B1ED8">
        <w:rPr>
          <w:rFonts w:ascii="Arial" w:eastAsia="Times New Roman" w:hAnsi="Arial" w:cs="Arial"/>
          <w:b/>
          <w:bCs/>
          <w:color w:val="0A0A0A"/>
          <w:sz w:val="27"/>
          <w:szCs w:val="27"/>
          <w:lang w:eastAsia="ru-RU"/>
        </w:rPr>
        <w:t>транспортной безопасности </w:t>
      </w:r>
      <w:r w:rsidRPr="006B1ED8">
        <w:rPr>
          <w:rFonts w:ascii="Arial" w:eastAsia="Times New Roman" w:hAnsi="Arial" w:cs="Arial"/>
          <w:color w:val="0A0A0A"/>
          <w:sz w:val="27"/>
          <w:szCs w:val="27"/>
          <w:lang w:eastAsia="ru-RU"/>
        </w:rPr>
        <w:t>(</w:t>
      </w:r>
      <w:proofErr w:type="spellStart"/>
      <w:r w:rsidRPr="006B1ED8">
        <w:rPr>
          <w:rFonts w:ascii="Arial" w:eastAsia="Times New Roman" w:hAnsi="Arial" w:cs="Arial"/>
          <w:color w:val="0A0A0A"/>
          <w:sz w:val="27"/>
          <w:szCs w:val="27"/>
          <w:lang w:eastAsia="ru-RU"/>
        </w:rPr>
        <w:t>пп</w:t>
      </w:r>
      <w:proofErr w:type="spellEnd"/>
      <w:r w:rsidRPr="006B1ED8">
        <w:rPr>
          <w:rFonts w:ascii="Arial" w:eastAsia="Times New Roman" w:hAnsi="Arial" w:cs="Arial"/>
          <w:color w:val="0A0A0A"/>
          <w:sz w:val="27"/>
          <w:szCs w:val="27"/>
          <w:lang w:eastAsia="ru-RU"/>
        </w:rPr>
        <w:t>. 7-9 ч. 2 ст. 22 Закона в</w:t>
      </w:r>
      <w:proofErr w:type="gramEnd"/>
      <w:r w:rsidRPr="006B1ED8">
        <w:rPr>
          <w:rFonts w:ascii="Arial" w:eastAsia="Times New Roman" w:hAnsi="Arial" w:cs="Arial"/>
          <w:color w:val="0A0A0A"/>
          <w:sz w:val="27"/>
          <w:szCs w:val="27"/>
          <w:lang w:eastAsia="ru-RU"/>
        </w:rPr>
        <w:t xml:space="preserve"> будущей редакции).</w:t>
      </w:r>
    </w:p>
    <w:p w:rsidR="006B1ED8" w:rsidRPr="006B1ED8" w:rsidRDefault="006B1ED8" w:rsidP="006B1ED8">
      <w:pPr>
        <w:spacing w:after="0" w:line="240" w:lineRule="auto"/>
        <w:rPr>
          <w:rFonts w:ascii="Times New Roman" w:eastAsia="Times New Roman" w:hAnsi="Times New Roman" w:cs="Times New Roman"/>
          <w:sz w:val="24"/>
          <w:szCs w:val="24"/>
          <w:lang w:eastAsia="ru-RU"/>
        </w:rPr>
      </w:pPr>
      <w:r w:rsidRPr="006B1ED8">
        <w:rPr>
          <w:rFonts w:ascii="Arial" w:eastAsia="Times New Roman" w:hAnsi="Arial" w:cs="Arial"/>
          <w:i/>
          <w:iCs/>
          <w:color w:val="0A0A0A"/>
          <w:sz w:val="27"/>
          <w:szCs w:val="27"/>
          <w:shd w:val="clear" w:color="auto" w:fill="FFFFFF"/>
          <w:lang w:eastAsia="ru-RU"/>
        </w:rPr>
        <w:t xml:space="preserve">Т.е. если вы будете у себя, например, в салоне или в магазине будете вести записи исключительно в тетрадке или блокноте на бумаге и никуда их не передавать и не вводить персональные данные в компьютер, то у вас не возникнет обязанности уведомлять </w:t>
      </w:r>
      <w:proofErr w:type="spellStart"/>
      <w:r w:rsidRPr="006B1ED8">
        <w:rPr>
          <w:rFonts w:ascii="Arial" w:eastAsia="Times New Roman" w:hAnsi="Arial" w:cs="Arial"/>
          <w:i/>
          <w:iCs/>
          <w:color w:val="0A0A0A"/>
          <w:sz w:val="27"/>
          <w:szCs w:val="27"/>
          <w:shd w:val="clear" w:color="auto" w:fill="FFFFFF"/>
          <w:lang w:eastAsia="ru-RU"/>
        </w:rPr>
        <w:t>Роскомнадзор</w:t>
      </w:r>
      <w:proofErr w:type="spellEnd"/>
      <w:r w:rsidRPr="006B1ED8">
        <w:rPr>
          <w:rFonts w:ascii="Arial" w:eastAsia="Times New Roman" w:hAnsi="Arial" w:cs="Arial"/>
          <w:i/>
          <w:iCs/>
          <w:color w:val="0A0A0A"/>
          <w:sz w:val="27"/>
          <w:szCs w:val="27"/>
          <w:shd w:val="clear" w:color="auto" w:fill="FFFFFF"/>
          <w:lang w:eastAsia="ru-RU"/>
        </w:rPr>
        <w:t xml:space="preserve"> и включаться в реестр операторов персональных данных</w:t>
      </w:r>
    </w:p>
    <w:p w:rsidR="006B1ED8" w:rsidRPr="006B1ED8" w:rsidRDefault="006B1ED8" w:rsidP="006B1ED8">
      <w:pPr>
        <w:shd w:val="clear" w:color="auto" w:fill="FFFFFF"/>
        <w:spacing w:before="360" w:after="240" w:line="420" w:lineRule="atLeast"/>
        <w:outlineLvl w:val="2"/>
        <w:rPr>
          <w:rFonts w:ascii="Georgia" w:eastAsia="Times New Roman" w:hAnsi="Georgia" w:cs="Times New Roman"/>
          <w:b/>
          <w:bCs/>
          <w:color w:val="0A0A0A"/>
          <w:sz w:val="30"/>
          <w:szCs w:val="30"/>
          <w:lang w:eastAsia="ru-RU"/>
        </w:rPr>
      </w:pPr>
      <w:r w:rsidRPr="006B1ED8">
        <w:rPr>
          <w:rFonts w:ascii="Georgia" w:eastAsia="Times New Roman" w:hAnsi="Georgia" w:cs="Times New Roman"/>
          <w:b/>
          <w:bCs/>
          <w:color w:val="0A0A0A"/>
          <w:sz w:val="30"/>
          <w:szCs w:val="30"/>
          <w:lang w:eastAsia="ru-RU"/>
        </w:rPr>
        <w:t>Ответственность</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lastRenderedPageBreak/>
        <w:t xml:space="preserve">Неисполнение обязанности уведомить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о намерении осуществлять обработку персональных данных может повлечь наложение административного штрафа от </w:t>
      </w:r>
      <w:r w:rsidRPr="006B1ED8">
        <w:rPr>
          <w:rFonts w:ascii="Arial" w:eastAsia="Times New Roman" w:hAnsi="Arial" w:cs="Arial"/>
          <w:b/>
          <w:bCs/>
          <w:color w:val="0A0A0A"/>
          <w:sz w:val="27"/>
          <w:szCs w:val="27"/>
          <w:lang w:eastAsia="ru-RU"/>
        </w:rPr>
        <w:t>100 до 300 руб. </w:t>
      </w:r>
      <w:r w:rsidRPr="006B1ED8">
        <w:rPr>
          <w:rFonts w:ascii="Arial" w:eastAsia="Times New Roman" w:hAnsi="Arial" w:cs="Arial"/>
          <w:color w:val="0A0A0A"/>
          <w:sz w:val="27"/>
          <w:szCs w:val="27"/>
          <w:lang w:eastAsia="ru-RU"/>
        </w:rPr>
        <w:t>- на </w:t>
      </w:r>
      <w:r w:rsidRPr="006B1ED8">
        <w:rPr>
          <w:rFonts w:ascii="Arial" w:eastAsia="Times New Roman" w:hAnsi="Arial" w:cs="Arial"/>
          <w:b/>
          <w:bCs/>
          <w:color w:val="0A0A0A"/>
          <w:sz w:val="27"/>
          <w:szCs w:val="27"/>
          <w:lang w:eastAsia="ru-RU"/>
        </w:rPr>
        <w:t>физических лиц</w:t>
      </w:r>
      <w:r w:rsidRPr="006B1ED8">
        <w:rPr>
          <w:rFonts w:ascii="Arial" w:eastAsia="Times New Roman" w:hAnsi="Arial" w:cs="Arial"/>
          <w:color w:val="0A0A0A"/>
          <w:sz w:val="27"/>
          <w:szCs w:val="27"/>
          <w:lang w:eastAsia="ru-RU"/>
        </w:rPr>
        <w:t>; на </w:t>
      </w:r>
      <w:r w:rsidRPr="006B1ED8">
        <w:rPr>
          <w:rFonts w:ascii="Arial" w:eastAsia="Times New Roman" w:hAnsi="Arial" w:cs="Arial"/>
          <w:b/>
          <w:bCs/>
          <w:color w:val="0A0A0A"/>
          <w:sz w:val="27"/>
          <w:szCs w:val="27"/>
          <w:lang w:eastAsia="ru-RU"/>
        </w:rPr>
        <w:t>должностных лиц от 300 до 500 руб.</w:t>
      </w:r>
      <w:r w:rsidRPr="006B1ED8">
        <w:rPr>
          <w:rFonts w:ascii="Arial" w:eastAsia="Times New Roman" w:hAnsi="Arial" w:cs="Arial"/>
          <w:color w:val="0A0A0A"/>
          <w:sz w:val="27"/>
          <w:szCs w:val="27"/>
          <w:lang w:eastAsia="ru-RU"/>
        </w:rPr>
        <w:t>; </w:t>
      </w:r>
      <w:r w:rsidRPr="006B1ED8">
        <w:rPr>
          <w:rFonts w:ascii="Arial" w:eastAsia="Times New Roman" w:hAnsi="Arial" w:cs="Arial"/>
          <w:b/>
          <w:bCs/>
          <w:color w:val="0A0A0A"/>
          <w:sz w:val="27"/>
          <w:szCs w:val="27"/>
          <w:lang w:eastAsia="ru-RU"/>
        </w:rPr>
        <w:t>от 3 до 5 тыс. руб. – на юридических лиц </w:t>
      </w:r>
      <w:r w:rsidRPr="006B1ED8">
        <w:rPr>
          <w:rFonts w:ascii="Arial" w:eastAsia="Times New Roman" w:hAnsi="Arial" w:cs="Arial"/>
          <w:color w:val="0A0A0A"/>
          <w:sz w:val="27"/>
          <w:szCs w:val="27"/>
          <w:lang w:eastAsia="ru-RU"/>
        </w:rPr>
        <w:t>(ст. 19.7 КоАП РФ</w:t>
      </w:r>
      <w:proofErr w:type="gramStart"/>
      <w:r w:rsidRPr="006B1ED8">
        <w:rPr>
          <w:rFonts w:ascii="Arial" w:eastAsia="Times New Roman" w:hAnsi="Arial" w:cs="Arial"/>
          <w:color w:val="0A0A0A"/>
          <w:sz w:val="27"/>
          <w:szCs w:val="27"/>
          <w:lang w:eastAsia="ru-RU"/>
        </w:rPr>
        <w:t xml:space="preserve"> )</w:t>
      </w:r>
      <w:proofErr w:type="gramEnd"/>
      <w:r w:rsidRPr="006B1ED8">
        <w:rPr>
          <w:rFonts w:ascii="Arial" w:eastAsia="Times New Roman" w:hAnsi="Arial" w:cs="Arial"/>
          <w:color w:val="0A0A0A"/>
          <w:sz w:val="27"/>
          <w:szCs w:val="27"/>
          <w:lang w:eastAsia="ru-RU"/>
        </w:rPr>
        <w:t xml:space="preserve">, также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может просто вынести </w:t>
      </w:r>
      <w:r w:rsidRPr="006B1ED8">
        <w:rPr>
          <w:rFonts w:ascii="Arial" w:eastAsia="Times New Roman" w:hAnsi="Arial" w:cs="Arial"/>
          <w:b/>
          <w:bCs/>
          <w:color w:val="0A0A0A"/>
          <w:sz w:val="27"/>
          <w:szCs w:val="27"/>
          <w:lang w:eastAsia="ru-RU"/>
        </w:rPr>
        <w:t>предупреждение </w:t>
      </w:r>
      <w:r w:rsidRPr="006B1ED8">
        <w:rPr>
          <w:rFonts w:ascii="Arial" w:eastAsia="Times New Roman" w:hAnsi="Arial" w:cs="Arial"/>
          <w:color w:val="0A0A0A"/>
          <w:sz w:val="27"/>
          <w:szCs w:val="27"/>
          <w:lang w:eastAsia="ru-RU"/>
        </w:rPr>
        <w:t>оператору.</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Пока размер штрафа не является значительным и сам по себе он может не мотивировать исполнять обязанность по уведомлению. Кроме того, зачастую </w:t>
      </w:r>
      <w:proofErr w:type="spellStart"/>
      <w:r w:rsidRPr="006B1ED8">
        <w:rPr>
          <w:rFonts w:ascii="Arial" w:eastAsia="Times New Roman" w:hAnsi="Arial" w:cs="Arial"/>
          <w:color w:val="0A0A0A"/>
          <w:sz w:val="27"/>
          <w:szCs w:val="27"/>
          <w:lang w:eastAsia="ru-RU"/>
        </w:rPr>
        <w:t>Роскомнадзор</w:t>
      </w:r>
      <w:proofErr w:type="spellEnd"/>
      <w:r w:rsidRPr="006B1ED8">
        <w:rPr>
          <w:rFonts w:ascii="Arial" w:eastAsia="Times New Roman" w:hAnsi="Arial" w:cs="Arial"/>
          <w:color w:val="0A0A0A"/>
          <w:sz w:val="27"/>
          <w:szCs w:val="27"/>
          <w:lang w:eastAsia="ru-RU"/>
        </w:rPr>
        <w:t xml:space="preserve"> предварительно направляет операторам требование о включении в реестр или предоставлении пояснений об отсутствии обязанности включиться в реестр.</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 xml:space="preserve">Тем не менее, судя по тренду изменений в законодательство РФ в области защиты персональных данных, ответственность будет увеличиваться. Пока для операторов всё еще </w:t>
      </w:r>
      <w:proofErr w:type="gramStart"/>
      <w:r w:rsidRPr="006B1ED8">
        <w:rPr>
          <w:rFonts w:ascii="Arial" w:eastAsia="Times New Roman" w:hAnsi="Arial" w:cs="Arial"/>
          <w:color w:val="0A0A0A"/>
          <w:sz w:val="27"/>
          <w:szCs w:val="27"/>
          <w:lang w:eastAsia="ru-RU"/>
        </w:rPr>
        <w:t>будет</w:t>
      </w:r>
      <w:proofErr w:type="gramEnd"/>
      <w:r w:rsidRPr="006B1ED8">
        <w:rPr>
          <w:rFonts w:ascii="Arial" w:eastAsia="Times New Roman" w:hAnsi="Arial" w:cs="Arial"/>
          <w:color w:val="0A0A0A"/>
          <w:sz w:val="27"/>
          <w:szCs w:val="27"/>
          <w:lang w:eastAsia="ru-RU"/>
        </w:rPr>
        <w:t xml:space="preserve"> имеется время для привыкания работы с персональными данными.</w:t>
      </w:r>
    </w:p>
    <w:p w:rsidR="006B1ED8" w:rsidRPr="006B1ED8" w:rsidRDefault="006B1ED8" w:rsidP="006B1ED8">
      <w:pPr>
        <w:shd w:val="clear" w:color="auto" w:fill="FFFFFF"/>
        <w:spacing w:before="240" w:after="240" w:line="240" w:lineRule="auto"/>
        <w:rPr>
          <w:rFonts w:ascii="Arial" w:eastAsia="Times New Roman" w:hAnsi="Arial" w:cs="Arial"/>
          <w:color w:val="0A0A0A"/>
          <w:sz w:val="27"/>
          <w:szCs w:val="27"/>
          <w:lang w:eastAsia="ru-RU"/>
        </w:rPr>
      </w:pPr>
      <w:r w:rsidRPr="006B1ED8">
        <w:rPr>
          <w:rFonts w:ascii="Arial" w:eastAsia="Times New Roman" w:hAnsi="Arial" w:cs="Arial"/>
          <w:color w:val="0A0A0A"/>
          <w:sz w:val="27"/>
          <w:szCs w:val="27"/>
          <w:lang w:eastAsia="ru-RU"/>
        </w:rPr>
        <w:t>Особенно это актуально для тех, кто обрабатывает большое количество данных о людях (сотни, тысячи, десятки тысяч и т.д.). В этом случае нужно иметь в виду, что оператор должен задуматься о системах криптозащиты и безопасности, чего нельзя сделать без соответствующих специалистов, обучения и без нового оборудования и/или организационных мероприятий (изменение документооборота, внедрение новых систем автоматизации и управления и т.п.)</w:t>
      </w:r>
    </w:p>
    <w:p w:rsidR="008C7F06" w:rsidRDefault="008C7F06"/>
    <w:sectPr w:rsidR="008C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6E6"/>
    <w:multiLevelType w:val="multilevel"/>
    <w:tmpl w:val="ED0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33D99"/>
    <w:multiLevelType w:val="multilevel"/>
    <w:tmpl w:val="C41A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76B0C"/>
    <w:multiLevelType w:val="multilevel"/>
    <w:tmpl w:val="F44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26B7A"/>
    <w:multiLevelType w:val="multilevel"/>
    <w:tmpl w:val="E78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18"/>
    <w:rsid w:val="005111B1"/>
    <w:rsid w:val="006B1ED8"/>
    <w:rsid w:val="008C7F06"/>
    <w:rsid w:val="00AB4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d.r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n.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2105</Words>
  <Characters>12005</Characters>
  <Application>Microsoft Office Word</Application>
  <DocSecurity>0</DocSecurity>
  <Lines>100</Lines>
  <Paragraphs>28</Paragraphs>
  <ScaleCrop>false</ScaleCrop>
  <Company>SPecialiST RePack</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2022-08-30T09:51:00Z</dcterms:created>
  <dcterms:modified xsi:type="dcterms:W3CDTF">2022-09-05T07:22:00Z</dcterms:modified>
</cp:coreProperties>
</file>