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6D" w:rsidRPr="0040176D" w:rsidRDefault="0040176D" w:rsidP="005148C6">
      <w:pPr>
        <w:shd w:val="clear" w:color="auto" w:fill="FFFFFF"/>
        <w:spacing w:after="0" w:line="240" w:lineRule="auto"/>
        <w:jc w:val="center"/>
        <w:rPr>
          <w:rFonts w:ascii="var(--player-main-font)" w:eastAsia="Times New Roman" w:hAnsi="var(--player-main-font)" w:cs="Arial"/>
          <w:b/>
          <w:bCs/>
          <w:color w:val="000000"/>
          <w:sz w:val="66"/>
          <w:szCs w:val="66"/>
          <w:lang w:eastAsia="ru-RU"/>
        </w:rPr>
      </w:pPr>
      <w:r w:rsidRPr="0040176D">
        <w:rPr>
          <w:rFonts w:ascii="var(--player-main-font)" w:eastAsia="Times New Roman" w:hAnsi="var(--player-main-font)" w:cs="Arial"/>
          <w:b/>
          <w:bCs/>
          <w:color w:val="000000"/>
          <w:sz w:val="66"/>
          <w:szCs w:val="66"/>
          <w:lang w:eastAsia="ru-RU"/>
        </w:rPr>
        <w:t>Оценка уровня профессионального риска выявленных опасностей</w:t>
      </w:r>
    </w:p>
    <w:p w:rsidR="0040176D" w:rsidRPr="0040176D" w:rsidRDefault="0040176D" w:rsidP="0040176D">
      <w:pPr>
        <w:shd w:val="clear" w:color="auto" w:fill="FFFFFF"/>
        <w:spacing w:before="480" w:after="0" w:line="240" w:lineRule="auto"/>
        <w:outlineLvl w:val="3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  <w:r w:rsidRPr="0040176D"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  <w:t>Наиболее распространенные методы оценки рисков</w:t>
      </w:r>
    </w:p>
    <w:p w:rsidR="0040176D" w:rsidRDefault="0040176D" w:rsidP="0040176D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40105DC3" wp14:editId="4EE9CF51">
                <wp:extent cx="304800" cy="304800"/>
                <wp:effectExtent l="0" t="0" r="0" b="0"/>
                <wp:docPr id="2" name="Прямоугольник 2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CidWBPAMAAEM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</w:p>
    <w:p w:rsidR="005840A7" w:rsidRPr="0040176D" w:rsidRDefault="005840A7" w:rsidP="0040176D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7AC32938" wp14:editId="2C113E88">
            <wp:extent cx="5940425" cy="3343160"/>
            <wp:effectExtent l="0" t="0" r="3175" b="0"/>
            <wp:docPr id="12" name="Рисунок 12" descr="C:\Users\Ольга\Downloads\70120231-2f6f-11ed-b74a-8a25ad56b3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70120231-2f6f-11ed-b74a-8a25ad56b3b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40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875433" w:rsidRPr="00875433" w:rsidTr="00875433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  <w:t xml:space="preserve">Методы оценки уровня профессиональных рисков 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  <w:t xml:space="preserve"> Оценка рисков с учетом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  <w:instrText xml:space="preserve"> HYPERLINK "kodeks://link/d?nd=1200160465&amp;point=mark=000000000000000000000000000000000000000000000000007D20K3"\o"’’ГОСТ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  <w:instrText>Применяется с 01.06.2019</w:instrText>
            </w:r>
          </w:p>
          <w:p w:rsidR="00875433" w:rsidRPr="00875433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20"/>
                <w:szCs w:val="20"/>
                <w:u w:val="single"/>
                <w:lang w:eastAsia="ru-RU"/>
              </w:rPr>
              <w:t>ГОСТ 12.0.230.5-2018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875433" w:rsidRPr="00875433" w:rsidTr="00875433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75433" w:rsidRPr="00875433" w:rsidTr="00875433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Вербальные методы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использующие простые открытые и закрытые вопросы, исследующие условия труда и (или) составляющие их факторы и не требующие оценок степени риска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875433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6216D8DF" wp14:editId="218ABB34">
                  <wp:extent cx="161925" cy="114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"kodeks://link/d?nd=1200160465&amp;point=mark=000000000000000000000000000000000000000000000000008PA0LT"\o"’’ГОСТ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Метод проверочного листа (</w:t>
            </w:r>
            <w:proofErr w:type="gramStart"/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чек-листа</w:t>
            </w:r>
            <w:proofErr w:type="gramEnd"/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)</w:t>
            </w:r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"kodeks://link/d?nd=1200160465&amp;point=mark=000000000000000000000000000000000000000000000000008PC0LU"\o"’’ГОСТ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 xml:space="preserve">Метод "Система </w:t>
            </w:r>
            <w:proofErr w:type="spellStart"/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Элмери</w:t>
            </w:r>
            <w:proofErr w:type="spellEnd"/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"</w:t>
            </w:r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"kodeks://link/d?nd=1200160465&amp;point=mark=000000000000000000000000000000000000000000000000008PE0LV"\o"’’ГОСТ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Метод "Что будет, если…?" (SWIFT)</w:t>
            </w:r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</w:p>
        </w:tc>
      </w:tr>
      <w:tr w:rsidR="00875433" w:rsidRPr="00875433" w:rsidTr="00875433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75433" w:rsidRPr="00875433" w:rsidTr="00875433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Методы организации работы в группе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для выработки любых неординарных решений на основе экспертных мнений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875433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623C8BB6" wp14:editId="47C8AC71">
                  <wp:extent cx="161925" cy="1143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"kodeks://link/d?nd=1200160465&amp;point=mark=000000000000000000000000000000000000000000000000008PC0LT"\o"’’ГОСТ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Метод мозгового штурма</w:t>
            </w:r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"kodeks://link/d?nd=1200160465&amp;point=mark=000000000000000000000000000000000000000000000000008PE0LU"\o"’’ГОСТ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 xml:space="preserve">Метод </w:t>
            </w:r>
            <w:proofErr w:type="spellStart"/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Дельфи</w:t>
            </w:r>
            <w:proofErr w:type="spellEnd"/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"kodeks://link/d?nd=1200160465&amp;point=mark=000000000000000000000000000000000000000000000000008PG0LV"\o"’’ГОСТ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 xml:space="preserve">Метод структурированного (частично структурированного) </w:t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lastRenderedPageBreak/>
              <w:t>интервью</w:t>
            </w:r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</w:p>
        </w:tc>
      </w:tr>
      <w:tr w:rsidR="00875433" w:rsidRPr="00875433" w:rsidTr="00875433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75433" w:rsidRPr="00875433" w:rsidTr="00875433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Матричные методы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или </w:t>
            </w:r>
            <w:r w:rsidRPr="008754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методы оценки степени риска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которые применяются исходя из отдельных оценок возможности (вероятности) и значимости (тяжести) последствий реализации риска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875433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788C5765" wp14:editId="3B01B08F">
                  <wp:extent cx="161925" cy="1143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"kodeks://link/d?nd=1200160465&amp;point=mark=000000000000000000000000000000000000000000000000008PI0M0"\o"’’ГОСТ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Матричный метод</w:t>
            </w:r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"kodeks://link/d?nd=1200160465&amp;point=mark=000000000000000000000000000000000000000000000000008PK0M1"\o"’’ГОСТ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 xml:space="preserve">Метод </w:t>
            </w:r>
            <w:proofErr w:type="spellStart"/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Файна-Кинни</w:t>
            </w:r>
            <w:proofErr w:type="spellEnd"/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"kodeks://link/d?nd=1200160465&amp;point=mark=000000000000000000000000000000000000000000000000008PM0M2"\o"’’ГОСТ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Метод идентификации опасностей</w:t>
            </w:r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</w:p>
        </w:tc>
      </w:tr>
      <w:tr w:rsidR="00875433" w:rsidRPr="00875433" w:rsidTr="00875433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75433" w:rsidRPr="00875433" w:rsidTr="00875433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Методы, используемые для </w:t>
            </w:r>
            <w:r w:rsidRPr="008754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оценки степени риска сложных систем на основе полуколичественных оценок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возможности (вероятности) и значимости (тяжести) последствий реализации риска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875433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4ADF22F5" wp14:editId="6D4CF601">
                  <wp:extent cx="161925" cy="1143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"kodeks://link/d?nd=1200160465&amp;point=mark=000000000000000000000000000000000000000000000000008PI0LV"\o"’’ГОСТ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Метод "Исследование опасности и работоспособности"</w:t>
            </w:r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"kodeks://link/d?nd=1200160465&amp;point=mark=000000000000000000000000000000000000000000000000008PS0M4"\o"’’ГОСТ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Метод "Анализ видов и последствий отказов"</w:t>
            </w:r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"kodeks://link/d?nd=1200160465&amp;point=mark=000000000000000000000000000000000000000000000000008PS0M4"\o"’’ГОСТ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Метод "Анализ видов, последствий и критичности отказов"</w:t>
            </w:r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4.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"kodeks://link/d?nd=1200160465&amp;point=mark=000000000000000000000000000000000000000000000000008PK0LV"\o"’’ГОСТ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Метод "Анализ дерева отказов (неисправностей)"</w:t>
            </w:r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5.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"kodeks://link/d?nd=1200160465&amp;point=mark=000000000000000000000000000000000000000000000000008PM0LV"\o"’’ГОСТ 12.0.230.5-2018 Система стандартов безопасности труда (ССБТ). Системы управления охраной труда ...’’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875433" w:rsidRPr="00875433" w:rsidRDefault="00875433" w:rsidP="00875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75433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Метод "Анализ дерева событий"</w:t>
            </w:r>
            <w:r w:rsidRPr="00875433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87543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</w:p>
        </w:tc>
      </w:tr>
    </w:tbl>
    <w:p w:rsidR="00BD159C" w:rsidRDefault="00BD159C" w:rsidP="00E87201">
      <w:pPr>
        <w:shd w:val="clear" w:color="auto" w:fill="FFFFFF"/>
        <w:spacing w:before="810" w:after="0" w:line="240" w:lineRule="auto"/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</w:pP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  <w:t xml:space="preserve">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91"/>
        <w:gridCol w:w="8457"/>
        <w:gridCol w:w="592"/>
      </w:tblGrid>
      <w:tr w:rsidR="00BD159C" w:rsidRPr="00BD159C" w:rsidTr="004F2C4D"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"kodeks://link/d?nd=1200160465&amp;point=mark=000000000000000000000000000000000000000000000000007DS0KA"\o"’’ГОСТ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Этапы оценки рисков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159C" w:rsidRPr="00BD159C" w:rsidTr="004F2C4D">
        <w:tc>
          <w:tcPr>
            <w:tcW w:w="59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1EF36A75" wp14:editId="7B47D13C">
                  <wp:extent cx="142875" cy="2000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59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Предварительный этап (планирование проведения оценки рисков) </w:t>
            </w:r>
          </w:p>
        </w:tc>
        <w:tc>
          <w:tcPr>
            <w:tcW w:w="59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0D32D69F" wp14:editId="726053EC">
                  <wp:extent cx="142875" cy="2000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59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Основной этап (определение степени риска и ее допустимости) </w:t>
            </w:r>
          </w:p>
        </w:tc>
        <w:tc>
          <w:tcPr>
            <w:tcW w:w="59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74806D7B" wp14:editId="7DF50556">
                  <wp:extent cx="142875" cy="2000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59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Заключительный этап (формирование результатов оценки рисков) </w:t>
            </w:r>
          </w:p>
        </w:tc>
        <w:tc>
          <w:tcPr>
            <w:tcW w:w="59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45"/>
        <w:gridCol w:w="8925"/>
      </w:tblGrid>
      <w:tr w:rsidR="00BD159C" w:rsidRPr="00BD159C" w:rsidTr="004F2C4D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"kodeks://link/d?nd=1200160465&amp;point=mark=000000000000000000000000000000000000000000000000007E80KG"\o"’’ГОСТ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Действия на предварительном этапе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159C" w:rsidRPr="00BD159C" w:rsidTr="004F2C4D">
        <w:tc>
          <w:tcPr>
            <w:tcW w:w="95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3BDAA59C" wp14:editId="4E1024C4">
                  <wp:extent cx="190500" cy="2667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59C" w:rsidRPr="00BD159C" w:rsidTr="004F2C4D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1. </w:t>
            </w:r>
          </w:p>
        </w:tc>
        <w:tc>
          <w:tcPr>
            <w:tcW w:w="8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Определить цели и задачи оценки риска. </w:t>
            </w:r>
          </w:p>
        </w:tc>
      </w:tr>
      <w:tr w:rsidR="00BD159C" w:rsidRPr="00BD159C" w:rsidTr="004F2C4D"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</w:t>
            </w:r>
          </w:p>
        </w:tc>
        <w:tc>
          <w:tcPr>
            <w:tcW w:w="8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Определить рабочие места и (или) виды работ, для которых проводится оценка риска, подготовить их перечень и дать описание. </w:t>
            </w:r>
          </w:p>
        </w:tc>
      </w:tr>
      <w:tr w:rsidR="00BD159C" w:rsidRPr="00BD159C" w:rsidTr="004F2C4D"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3. </w:t>
            </w:r>
          </w:p>
        </w:tc>
        <w:tc>
          <w:tcPr>
            <w:tcW w:w="8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Подобрать персонал и (или) экспертов, компетентных в вопросах оценки риска. </w:t>
            </w:r>
          </w:p>
        </w:tc>
      </w:tr>
      <w:tr w:rsidR="00BD159C" w:rsidRPr="00BD159C" w:rsidTr="004F2C4D"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4. </w:t>
            </w:r>
          </w:p>
        </w:tc>
        <w:tc>
          <w:tcPr>
            <w:tcW w:w="8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Установить источники информации о безопасности или опасности рабочих мест и видов работ, подвергаемых оценке риска. </w:t>
            </w:r>
          </w:p>
        </w:tc>
      </w:tr>
      <w:tr w:rsidR="00BD159C" w:rsidRPr="00BD159C" w:rsidTr="004F2C4D"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5. </w:t>
            </w:r>
          </w:p>
        </w:tc>
        <w:tc>
          <w:tcPr>
            <w:tcW w:w="8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Выявить исходные данные и ограничения, обуславливающие особенности проведения оценки риска. </w:t>
            </w:r>
          </w:p>
        </w:tc>
      </w:tr>
      <w:tr w:rsidR="00BD159C" w:rsidRPr="00BD159C" w:rsidTr="004F2C4D"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6. </w:t>
            </w:r>
          </w:p>
        </w:tc>
        <w:tc>
          <w:tcPr>
            <w:tcW w:w="8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Выбрать методы оценки риска и на их основе разработать методику проведения оценки риска. </w:t>
            </w:r>
          </w:p>
        </w:tc>
      </w:tr>
    </w:tbl>
    <w:p w:rsidR="00BD159C" w:rsidRPr="00BD159C" w:rsidRDefault="00BD159C" w:rsidP="00BD159C">
      <w:pPr>
        <w:rPr>
          <w:rFonts w:ascii="Calibri" w:eastAsia="Times New Roman" w:hAnsi="Calibri" w:cs="Times New Roman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"kodeks://link/d?nd=1200160465&amp;point=mark=000000000000000000000000000000000000000000000000007E80KF"\o"’’ГОСТ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Основные приемы оценки риска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Визуальный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5C5F5DE6" wp14:editId="51A23392">
                  <wp:extent cx="161925" cy="1143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 местах выполнения работ: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Проводится визуальный осмотр всех идентифицированных опасностей.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 Выявляются ситуационные риски и риски воздействия.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3. Проводится субъективная оценка степени риска.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Ситуационный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56A13AE9" wp14:editId="025DD271">
                  <wp:extent cx="161925" cy="1143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Анализируются возможные сценарии развития нештатных и опасных ситуаций на местах выполнения работ, возможного воздействия опасностей на организм работника на различных этапах выполнения работ.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Документально-аналитический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645EEBB3" wp14:editId="28852A24">
                  <wp:extent cx="161925" cy="1143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Изучается зафиксированная информация о степени возможности (вероятности) возникновения опасной ситуации и степени значимости (тяжести) последствий возникновения опасной ситуации для работника, включая риск воздействия опасностей на его организм.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33"/>
        <w:gridCol w:w="4807"/>
      </w:tblGrid>
      <w:tr w:rsidR="00BD159C" w:rsidRPr="00BD159C" w:rsidTr="004F2C4D"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"kodeks://link/d?nd=1200160465&amp;point=mark=000000000000000000000000000000000000000000000000007EG0KJ"\o"’’ГОСТ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Методы оценки риска должны зависеть от того, проводится ли оценка рисков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159C" w:rsidRPr="00BD159C" w:rsidTr="004F2C4D">
        <w:tc>
          <w:tcPr>
            <w:tcW w:w="4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17AE7814" wp14:editId="1B41584E">
                  <wp:extent cx="171450" cy="2476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34E5754A" wp14:editId="61D16043">
                  <wp:extent cx="171450" cy="2476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59C" w:rsidRPr="00BD159C" w:rsidTr="004F2C4D"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Впервые 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Повторно - для уточнения ранее оцененных рисков (при любых изменениях, несчастных случаях на производстве и профзаболеваниях, совершенствовании СУОТ)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45"/>
        <w:gridCol w:w="8925"/>
      </w:tblGrid>
      <w:tr w:rsidR="00BD159C" w:rsidRPr="00BD159C" w:rsidTr="004F2C4D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"kodeks://link/d?nd=1200160465&amp;point=mark=000000000000000000000000000000000000000000000000007EC0KG"\o"’’ГОСТ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При проведении оценки рисков впервые необходимо использовать методы, которые позволят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: </w:t>
            </w:r>
          </w:p>
        </w:tc>
      </w:tr>
      <w:tr w:rsidR="00BD159C" w:rsidRPr="00BD159C" w:rsidTr="004F2C4D">
        <w:tc>
          <w:tcPr>
            <w:tcW w:w="95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3866D603" wp14:editId="5C2D0B9A">
                  <wp:extent cx="190500" cy="2667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59C" w:rsidRPr="00BD159C" w:rsidTr="004F2C4D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1. </w:t>
            </w:r>
          </w:p>
        </w:tc>
        <w:tc>
          <w:tcPr>
            <w:tcW w:w="8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Оценить риск воздействия опасностей на работников. </w:t>
            </w:r>
          </w:p>
        </w:tc>
      </w:tr>
      <w:tr w:rsidR="00BD159C" w:rsidRPr="00BD159C" w:rsidTr="004F2C4D"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</w:t>
            </w:r>
          </w:p>
        </w:tc>
        <w:tc>
          <w:tcPr>
            <w:tcW w:w="8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Использовать результаты оценки риска </w:t>
            </w:r>
            <w:proofErr w:type="gramStart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для</w:t>
            </w:r>
            <w:proofErr w:type="gramEnd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: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выбора вариантов обустройства рабочих мест и мероприятий по обеспечению безопасности и улучшению условий труда;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оценки результативности проводимых мероприятий. </w:t>
            </w:r>
          </w:p>
        </w:tc>
      </w:tr>
      <w:tr w:rsidR="00BD159C" w:rsidRPr="00BD159C" w:rsidTr="004F2C4D"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3. </w:t>
            </w:r>
          </w:p>
        </w:tc>
        <w:tc>
          <w:tcPr>
            <w:tcW w:w="8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Обеспечить работников информацией, необходимой для совершенствования СУОТ, разработки инструкций по охране труда, программ обучения и инструктирования, выбора </w:t>
            </w:r>
            <w:proofErr w:type="gramStart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СИЗ</w:t>
            </w:r>
            <w:proofErr w:type="gramEnd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планов действий в аварийных ситуациях и т.п. </w:t>
            </w:r>
          </w:p>
        </w:tc>
      </w:tr>
    </w:tbl>
    <w:p w:rsidR="00BD159C" w:rsidRPr="00BD159C" w:rsidRDefault="00BD159C" w:rsidP="00BD159C">
      <w:pPr>
        <w:rPr>
          <w:rFonts w:ascii="Calibri" w:eastAsia="Times New Roman" w:hAnsi="Calibri" w:cs="Times New Roman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45"/>
        <w:gridCol w:w="8925"/>
      </w:tblGrid>
      <w:tr w:rsidR="00BD159C" w:rsidRPr="00BD159C" w:rsidTr="004F2C4D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"kodeks://link/d?nd=1200160465&amp;point=mark=000000000000000000000000000000000000000000000000007EK0KK"\o"’’ГОСТ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При проведении повторной оценки рисков необходимо использовать методы, которые позволят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: </w:t>
            </w:r>
          </w:p>
        </w:tc>
      </w:tr>
      <w:tr w:rsidR="00BD159C" w:rsidRPr="00BD159C" w:rsidTr="004F2C4D">
        <w:tc>
          <w:tcPr>
            <w:tcW w:w="95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4722FCF8" wp14:editId="244F90C2">
                  <wp:extent cx="190500" cy="2667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59C" w:rsidRPr="00BD159C" w:rsidTr="004F2C4D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1. </w:t>
            </w:r>
          </w:p>
        </w:tc>
        <w:tc>
          <w:tcPr>
            <w:tcW w:w="8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Уточнить информацию об основных опасностях и рисках, полученных на предыдущих этапах, и выявить новые опасности с последующей оценкой возможности (вероятности) возникновения опасностей и оценкой значимости (тяжести) последствий их возможного воздействия на организм работника. </w:t>
            </w:r>
          </w:p>
        </w:tc>
      </w:tr>
      <w:tr w:rsidR="00BD159C" w:rsidRPr="00BD159C" w:rsidTr="004F2C4D"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</w:t>
            </w:r>
          </w:p>
        </w:tc>
        <w:tc>
          <w:tcPr>
            <w:tcW w:w="8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Оценить соответствие условий труда требованиям действующего законодательства. </w:t>
            </w:r>
          </w:p>
        </w:tc>
      </w:tr>
      <w:tr w:rsidR="00BD159C" w:rsidRPr="00BD159C" w:rsidTr="004F2C4D"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3. </w:t>
            </w:r>
          </w:p>
        </w:tc>
        <w:tc>
          <w:tcPr>
            <w:tcW w:w="8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Уточнить и переработать инструкции по охране труда, скорректировать иные организационные мероприятия СУОТ. </w:t>
            </w:r>
          </w:p>
        </w:tc>
      </w:tr>
      <w:tr w:rsidR="00BD159C" w:rsidRPr="00BD159C" w:rsidTr="004F2C4D"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4. </w:t>
            </w:r>
          </w:p>
        </w:tc>
        <w:tc>
          <w:tcPr>
            <w:tcW w:w="8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Оценить результативность и эффективность совершенствования организационных структур, приемов практической работы и технического обслуживания, а также других элементов СУОТ.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p w:rsidR="00BD159C" w:rsidRPr="00BD159C" w:rsidRDefault="00BD159C" w:rsidP="00BD159C">
      <w:pPr>
        <w:rPr>
          <w:rFonts w:ascii="Calibri" w:eastAsia="Times New Roman" w:hAnsi="Calibri" w:cs="Times New Roman"/>
          <w:lang w:eastAsia="ru-RU"/>
        </w:rPr>
      </w:pPr>
      <w:r w:rsidRPr="00BD159C">
        <w:rPr>
          <w:rFonts w:ascii="Calibri" w:eastAsia="Times New Roman" w:hAnsi="Calibri" w:cs="Times New Roman"/>
          <w:b/>
          <w:bCs/>
          <w:lang w:eastAsia="ru-RU"/>
        </w:rPr>
        <w:t>Пример матрицы рисков</w:t>
      </w:r>
      <w:r w:rsidRPr="00BD159C">
        <w:rPr>
          <w:rFonts w:ascii="Calibri" w:eastAsia="Times New Roman" w:hAnsi="Calibri" w:cs="Times New Roman"/>
          <w:lang w:eastAsia="ru-RU"/>
        </w:rPr>
        <w:t>.</w:t>
      </w:r>
    </w:p>
    <w:p w:rsidR="00BD159C" w:rsidRPr="00BD159C" w:rsidRDefault="00BD159C" w:rsidP="00BD159C">
      <w:pPr>
        <w:rPr>
          <w:rFonts w:ascii="Calibri" w:eastAsia="Times New Roman" w:hAnsi="Calibri" w:cs="Times New Roman"/>
          <w:lang w:eastAsia="ru-RU"/>
        </w:rPr>
      </w:pPr>
    </w:p>
    <w:p w:rsidR="00BD159C" w:rsidRPr="00BD159C" w:rsidRDefault="00BD159C" w:rsidP="00BD159C">
      <w:pPr>
        <w:rPr>
          <w:rFonts w:ascii="Calibri" w:eastAsia="Times New Roman" w:hAnsi="Calibri" w:cs="Times New Roman"/>
          <w:lang w:eastAsia="ru-RU"/>
        </w:rPr>
      </w:pPr>
      <w:r w:rsidRPr="00BD159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B713413" wp14:editId="60E78F52">
            <wp:extent cx="5715000" cy="9239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D159C" w:rsidRPr="007566C0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  <w:p w:rsidR="00BD159C" w:rsidRPr="00BD159C" w:rsidRDefault="00BD159C" w:rsidP="00BD159C">
            <w:pPr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D159C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</w:t>
            </w:r>
            <w:r w:rsidRPr="00BD159C">
              <w:rPr>
                <w:rFonts w:ascii="Calibri" w:eastAsia="Times New Roman" w:hAnsi="Calibri" w:cs="Times New Roman"/>
                <w:b/>
                <w:bCs/>
                <w:lang w:eastAsia="ru-RU"/>
              </w:rPr>
              <w:fldChar w:fldCharType="begin"/>
            </w:r>
            <w:r w:rsidRPr="00BD159C">
              <w:rPr>
                <w:rFonts w:ascii="Calibri" w:eastAsia="Times New Roman" w:hAnsi="Calibri" w:cs="Times New Roman"/>
                <w:b/>
                <w:bCs/>
                <w:lang w:eastAsia="ru-RU"/>
              </w:rPr>
              <w:instrText xml:space="preserve"> HYPERLINK "kodeks://link/d?nd=1200160465&amp;point=mark=000000000000000000000000000000000000000000000000008PK0M1"\o"’’ГОСТ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D159C">
              <w:rPr>
                <w:rFonts w:ascii="Calibri" w:eastAsia="Times New Roman" w:hAnsi="Calibri" w:cs="Times New Roman"/>
                <w:b/>
                <w:bCs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D159C">
              <w:rPr>
                <w:rFonts w:ascii="Calibri" w:eastAsia="Times New Roman" w:hAnsi="Calibri" w:cs="Times New Roman"/>
                <w:b/>
                <w:bCs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rPr>
                <w:rFonts w:ascii="Calibri" w:eastAsia="Times New Roman" w:hAnsi="Calibri" w:cs="Times New Roman"/>
                <w:b/>
                <w:bCs/>
                <w:lang w:val="en-US" w:eastAsia="ru-RU"/>
              </w:rPr>
            </w:pPr>
            <w:r w:rsidRPr="00BD159C">
              <w:rPr>
                <w:rFonts w:ascii="Calibri" w:eastAsia="Times New Roman" w:hAnsi="Calibri" w:cs="Times New Roman"/>
                <w:b/>
                <w:bCs/>
                <w:lang w:eastAsia="ru-RU"/>
              </w:rPr>
              <w:instrText>Статус</w:instrText>
            </w:r>
            <w:r w:rsidRPr="00BD159C">
              <w:rPr>
                <w:rFonts w:ascii="Calibri" w:eastAsia="Times New Roman" w:hAnsi="Calibri" w:cs="Times New Roman"/>
                <w:b/>
                <w:bCs/>
                <w:lang w:val="en-US" w:eastAsia="ru-RU"/>
              </w:rPr>
              <w:instrText xml:space="preserve">: </w:instrText>
            </w:r>
            <w:r w:rsidRPr="00BD159C">
              <w:rPr>
                <w:rFonts w:ascii="Calibri" w:eastAsia="Times New Roman" w:hAnsi="Calibri" w:cs="Times New Roman"/>
                <w:b/>
                <w:bCs/>
                <w:lang w:eastAsia="ru-RU"/>
              </w:rPr>
              <w:instrText>действует</w:instrText>
            </w:r>
            <w:r w:rsidRPr="00BD159C">
              <w:rPr>
                <w:rFonts w:ascii="Calibri" w:eastAsia="Times New Roman" w:hAnsi="Calibri" w:cs="Times New Roman"/>
                <w:b/>
                <w:bCs/>
                <w:lang w:val="en-US" w:eastAsia="ru-RU"/>
              </w:rPr>
              <w:instrText xml:space="preserve"> </w:instrText>
            </w:r>
            <w:r w:rsidRPr="00BD159C">
              <w:rPr>
                <w:rFonts w:ascii="Calibri" w:eastAsia="Times New Roman" w:hAnsi="Calibri" w:cs="Times New Roman"/>
                <w:b/>
                <w:bCs/>
                <w:lang w:eastAsia="ru-RU"/>
              </w:rPr>
              <w:instrText>с</w:instrText>
            </w:r>
            <w:r w:rsidRPr="00BD159C">
              <w:rPr>
                <w:rFonts w:ascii="Calibri" w:eastAsia="Times New Roman" w:hAnsi="Calibri" w:cs="Times New Roman"/>
                <w:b/>
                <w:bCs/>
                <w:lang w:val="en-US" w:eastAsia="ru-RU"/>
              </w:rPr>
              <w:instrText xml:space="preserve"> 01.06.2019"</w:instrText>
            </w:r>
            <w:r w:rsidRPr="00BD159C">
              <w:rPr>
                <w:rFonts w:ascii="Calibri" w:eastAsia="Times New Roman" w:hAnsi="Calibri" w:cs="Times New Roman"/>
                <w:b/>
                <w:bCs/>
                <w:lang w:eastAsia="ru-RU"/>
              </w:rPr>
              <w:fldChar w:fldCharType="separate"/>
            </w:r>
            <w:r w:rsidRPr="00BD159C">
              <w:rPr>
                <w:rFonts w:ascii="Calibri" w:eastAsia="Times New Roman" w:hAnsi="Calibri" w:cs="Times New Roman"/>
                <w:b/>
                <w:bCs/>
                <w:color w:val="0000FF"/>
                <w:u w:val="single"/>
                <w:lang w:eastAsia="ru-RU"/>
              </w:rPr>
              <w:t>Метод</w:t>
            </w:r>
            <w:r w:rsidRPr="00BD159C">
              <w:rPr>
                <w:rFonts w:ascii="Calibri" w:eastAsia="Times New Roman" w:hAnsi="Calibri" w:cs="Times New Roman"/>
                <w:b/>
                <w:bCs/>
                <w:color w:val="0000FF"/>
                <w:u w:val="single"/>
                <w:lang w:val="en-US" w:eastAsia="ru-RU"/>
              </w:rPr>
              <w:t xml:space="preserve"> </w:t>
            </w:r>
            <w:proofErr w:type="spellStart"/>
            <w:r w:rsidRPr="00BD159C">
              <w:rPr>
                <w:rFonts w:ascii="Calibri" w:eastAsia="Times New Roman" w:hAnsi="Calibri" w:cs="Times New Roman"/>
                <w:b/>
                <w:bCs/>
                <w:color w:val="0000FF"/>
                <w:u w:val="single"/>
                <w:lang w:eastAsia="ru-RU"/>
              </w:rPr>
              <w:t>Файна</w:t>
            </w:r>
            <w:proofErr w:type="spellEnd"/>
            <w:r w:rsidRPr="00BD159C">
              <w:rPr>
                <w:rFonts w:ascii="Calibri" w:eastAsia="Times New Roman" w:hAnsi="Calibri" w:cs="Times New Roman"/>
                <w:b/>
                <w:bCs/>
                <w:color w:val="0000FF"/>
                <w:u w:val="single"/>
                <w:lang w:val="en-US" w:eastAsia="ru-RU"/>
              </w:rPr>
              <w:t>-</w:t>
            </w:r>
            <w:proofErr w:type="spellStart"/>
            <w:r w:rsidRPr="00BD159C">
              <w:rPr>
                <w:rFonts w:ascii="Calibri" w:eastAsia="Times New Roman" w:hAnsi="Calibri" w:cs="Times New Roman"/>
                <w:b/>
                <w:bCs/>
                <w:color w:val="0000FF"/>
                <w:u w:val="single"/>
                <w:lang w:eastAsia="ru-RU"/>
              </w:rPr>
              <w:t>Кинни</w:t>
            </w:r>
            <w:proofErr w:type="spellEnd"/>
            <w:r w:rsidRPr="00BD159C">
              <w:rPr>
                <w:rFonts w:ascii="Calibri" w:eastAsia="Times New Roman" w:hAnsi="Calibri" w:cs="Times New Roman"/>
                <w:b/>
                <w:bCs/>
                <w:color w:val="0000FF"/>
                <w:u w:val="single"/>
                <w:lang w:val="en-US" w:eastAsia="ru-RU"/>
              </w:rPr>
              <w:t xml:space="preserve"> (Fine &amp; Kinney method) </w:t>
            </w:r>
            <w:r w:rsidRPr="00BD159C">
              <w:rPr>
                <w:rFonts w:ascii="Calibri" w:eastAsia="Times New Roman" w:hAnsi="Calibri" w:cs="Times New Roman"/>
                <w:lang w:eastAsia="ru-RU"/>
              </w:rPr>
              <w:fldChar w:fldCharType="end"/>
            </w:r>
            <w:r w:rsidRPr="00BD159C">
              <w:rPr>
                <w:rFonts w:ascii="Calibri" w:eastAsia="Times New Roman" w:hAnsi="Calibri" w:cs="Times New Roman"/>
                <w:b/>
                <w:bCs/>
                <w:lang w:val="en-US" w:eastAsia="ru-RU"/>
              </w:rPr>
              <w:t xml:space="preserve"> </w:t>
            </w:r>
          </w:p>
        </w:tc>
      </w:tr>
    </w:tbl>
    <w:p w:rsidR="00BD159C" w:rsidRPr="00BD159C" w:rsidRDefault="00BD159C" w:rsidP="00BD159C">
      <w:pPr>
        <w:rPr>
          <w:rFonts w:ascii="Calibri" w:eastAsia="Times New Roman" w:hAnsi="Calibri" w:cs="Times New Roman"/>
          <w:lang w:val="en-US"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Содержание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2E723580" wp14:editId="6E7B3AE0">
                  <wp:extent cx="161925" cy="11430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Заключается в последовательной оценке рисков как произведения трех составляющих: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</w:t>
            </w: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степени подверженности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работника воздействию опасности на 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рабочем месте;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</w:t>
            </w: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возможности возникновения угрозы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на рабочем месте;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</w:t>
            </w: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тяжести последствий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для работников в том случае, если угроза осуществится.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 Проведение оценки должно привести к классификации рисков по степени серьезности по 5 группам: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очень маленький риск;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небольшой риск;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средний риск;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высокий риск;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крайне высокий риск.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3. В зависимости от полученного коэффициента степени риска и итоговой классификации профессионального риска расставляются приоритеты в отношении мер, которые необходимо принять для устранения или снижения риска повреждения здоровья на рабочем месте, и составляется план мероприятий.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Преимущества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088E993E" wp14:editId="6199885C">
                  <wp:extent cx="161925" cy="11430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Простота расчетов и наглядность.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Недостатки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5A110B09" wp14:editId="5AE13B66">
                  <wp:extent cx="161925" cy="1143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Субъективность при проведении оценки.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t>Метод выражается формулой:</w: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R = Подверженность x Вероятность x Последствия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tbl>
      <w:tblPr>
        <w:tblW w:w="9640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Подверженность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Постоянная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0DB09DD0" wp14:editId="4BA2DB4D">
                  <wp:extent cx="161925" cy="11430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10 баллов.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Регулярная (ежедневно)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41C3EF4A" wp14:editId="14BFCD51">
                  <wp:extent cx="161925" cy="1143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6 баллов.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Время от времени (еженедельно)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1D345154" wp14:editId="7B20C021">
                  <wp:extent cx="161925" cy="11430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 балла.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Иногда (ежемесячно)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3277B02B" wp14:editId="34AE36F7">
                  <wp:extent cx="161925" cy="11430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 балла.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Редко (ежегодно)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1A7F774D" wp14:editId="27108916">
                  <wp:extent cx="161925" cy="114300"/>
                  <wp:effectExtent l="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 балл.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Очень редко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4067C8BD" wp14:editId="688CD9E4">
                  <wp:extent cx="161925" cy="11430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0,5 балла.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Вероятность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Ожидаемо, это случится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7E8FFADB" wp14:editId="7497AD80">
                  <wp:extent cx="161925" cy="114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10 баллов.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Очень вероятно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79E7F0C5" wp14:editId="520CBDB6">
                  <wp:extent cx="161925" cy="11430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6 баллов.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Необычно, но возможно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4DD6CA9B" wp14:editId="44276DD5">
                  <wp:extent cx="161925" cy="11430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 балла.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Невероятно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37AD4FD5" wp14:editId="0EDC74D9">
                  <wp:extent cx="161925" cy="114300"/>
                  <wp:effectExtent l="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 балл.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Можно себе представить, но невероятно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3A7B73D6" wp14:editId="2D17ABC4">
                  <wp:extent cx="161925" cy="114300"/>
                  <wp:effectExtent l="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0,5 балла.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Почти невозможно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00253B93" wp14:editId="2F6B20D0">
                  <wp:extent cx="161925" cy="114300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0,2 балла.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Невозможно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3BD69E10" wp14:editId="337A8D27">
                  <wp:extent cx="161925" cy="114300"/>
                  <wp:effectExtent l="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0,1 балла.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9640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Последствия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Катастрофа, много жертв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7F85D3A0" wp14:editId="4C14A5BF">
                  <wp:extent cx="161925" cy="114300"/>
                  <wp:effectExtent l="0" t="0" r="952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100 баллов.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Авария, несколько жертв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4F277D8E" wp14:editId="3908A360">
                  <wp:extent cx="161925" cy="114300"/>
                  <wp:effectExtent l="0" t="0" r="952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40 баллов.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Очень тяжелые последствия, один человек погиб (сразу или через какое-либо время)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1B707E35" wp14:editId="45A6730C">
                  <wp:extent cx="161925" cy="11430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15 баллов.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Тяжелые последствия, инвалидность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1D986B41" wp14:editId="7B57528F">
                  <wp:extent cx="161925" cy="114300"/>
                  <wp:effectExtent l="0" t="0" r="952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7 баллов.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Серьезные последствия, травма и невыход на работу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60072FC2" wp14:editId="0EC01067">
                  <wp:extent cx="161925" cy="114300"/>
                  <wp:effectExtent l="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 балла.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Минимальные последствия, оказание первой помощи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7941FA9C" wp14:editId="73381F8A">
                  <wp:extent cx="161925" cy="11430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 балл.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t>Метод классифицирует профессиональный риск по 5 группам: очень маленький; небольшой; средний; высокий; крайне высокий.</w: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130"/>
        <w:gridCol w:w="2925"/>
        <w:gridCol w:w="4515"/>
      </w:tblGrid>
      <w:tr w:rsidR="00BD159C" w:rsidRPr="00BD159C" w:rsidTr="004F2C4D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Риск 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Характеристика риска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Необходимые действия </w:t>
            </w:r>
          </w:p>
        </w:tc>
      </w:tr>
      <w:tr w:rsidR="00BD159C" w:rsidRPr="00BD159C" w:rsidTr="004F2C4D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Более 400 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Крайне высокий риск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Немедленное прекращение деятельности </w:t>
            </w:r>
          </w:p>
        </w:tc>
      </w:tr>
      <w:tr w:rsidR="00BD159C" w:rsidRPr="00BD159C" w:rsidTr="004F2C4D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201-400 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Высокий риск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Необходимы немедленные усовершенствования </w:t>
            </w:r>
          </w:p>
        </w:tc>
      </w:tr>
      <w:tr w:rsidR="00BD159C" w:rsidRPr="00BD159C" w:rsidTr="004F2C4D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71-200 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Средний риск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Необходимы усовершенствования </w:t>
            </w:r>
          </w:p>
        </w:tc>
      </w:tr>
      <w:tr w:rsidR="00BD159C" w:rsidRPr="00BD159C" w:rsidTr="004F2C4D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21-70 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Небольшой риск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Необходимо уделить внимание </w:t>
            </w:r>
          </w:p>
        </w:tc>
      </w:tr>
      <w:tr w:rsidR="00BD159C" w:rsidRPr="00BD159C" w:rsidTr="004F2C4D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0-20 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Очень маленький риск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Возможно приемлемый риск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"kodeks://link/d?nd=1200160465&amp;point=mark=000000000000000000000000000000000000000000000000008PM0M2"\o"’’ГОСТ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Метод идентификации опасностей (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Hazard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Identification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- HAZID)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Содержание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4B1EEE7D" wp14:editId="7CB006E6">
                  <wp:extent cx="161925" cy="114300"/>
                  <wp:effectExtent l="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Представляет собой метод идентификации существенных опасностей, связанных с большими рисками и приводящих к серьезным последствиям.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Используется для предварительного выявления и описания опасностей и связанных с ними рисков на начальном этапе проектирования объектов (выбор площадки, конструктивные решения, подбор оборудования и др.), исходя из возможных нежелательных последствий.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Преимущества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0805AF6D" wp14:editId="5D27A477">
                  <wp:extent cx="161925" cy="114300"/>
                  <wp:effectExtent l="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Возможность анализа последствий реализации опасностей на ранних стадиях разработки проекта с возможностью выбора оптимальных альтернативных вариантов технологического проектирования.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 Выявление всех предполагаемых опасностей объекта с целью их минимизации на стадии проектирования.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 Возможность внесения существенных изменений в основные принципы проектирования объекта на самом раннем этапе, до полномасштабного осуществления проектных работ.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4. Выявление конкретных опасностей в процессе разработки различных проектных решений и (или) вариантов технологического процесса.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5. Возможность разработки реестра типовых опасностей и последствий для более детального анализа опасностей и рисков и на более поздних этапах жизненного цикла объекта. </w:t>
            </w:r>
          </w:p>
        </w:tc>
      </w:tr>
    </w:tbl>
    <w:p w:rsidR="00BD159C" w:rsidRPr="00BD159C" w:rsidRDefault="00BD159C" w:rsidP="00BD159C">
      <w:pPr>
        <w:rPr>
          <w:rFonts w:ascii="Calibri" w:eastAsia="Times New Roman" w:hAnsi="Calibri" w:cs="Times New Roman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Недостатки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54DD4817" wp14:editId="4823728C">
                  <wp:extent cx="161925" cy="114300"/>
                  <wp:effectExtent l="0" t="0" r="952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Может потребовать значительных затрат времени и материальных средств, а также подробного анализа документации.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7566C0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"kodeks://link/d?nd=1200160465&amp;point=mark=000000000000000000000000000000000000000000000000008PI0LV"\o"’’ГОСТ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Метод "Исследование опасности и работоспособности"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val="en-US"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val="en-US" w:eastAsia="ru-RU"/>
              </w:rPr>
              <w:t>(Hazard and Operability study - HAZOP)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val="en-US" w:eastAsia="ru-RU"/>
              </w:rPr>
              <w:t xml:space="preserve"> </w:t>
            </w:r>
          </w:p>
        </w:tc>
      </w:tr>
      <w:tr w:rsidR="00BD159C" w:rsidRPr="007566C0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Содержание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12EE36AF" wp14:editId="57B49889">
                  <wp:extent cx="161925" cy="114300"/>
                  <wp:effectExtent l="0" t="0" r="952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1. </w:t>
            </w:r>
            <w:proofErr w:type="gramStart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Направлен</w:t>
            </w:r>
            <w:proofErr w:type="gramEnd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на идентификацию видов отказов процесса, системы или процедуры, их причин и последствий. При применении рассматривают нежелательные результаты и отклонения от намеченных результатов и условий для поиска возможных причин и видов отказа.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</w:t>
            </w:r>
            <w:proofErr w:type="gramStart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Предпочтителен</w:t>
            </w:r>
            <w:proofErr w:type="gramEnd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на стадиях: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завершения разработки проекта, когда проработаны основные конструктивные и технологические решения;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подготовки рабочей документации после разработки схем технологического процесса или в процессе модификации эксплуатируемого оборудования.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Преимущества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464CAC1E" wp14:editId="0673C767">
                  <wp:extent cx="161925" cy="114300"/>
                  <wp:effectExtent l="0" t="0" r="952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Позволяет определить виды отказов, их причины и последствия.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Помогает выявить неясности и неточности в инструкциях по безопасности и способствует их дальнейшему совершенствованию.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Недостатки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22B57F5B" wp14:editId="27E37DBB">
                  <wp:extent cx="161925" cy="114300"/>
                  <wp:effectExtent l="0" t="0" r="952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Может потребовать больших затрат времени и материальных средств.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 Требует наличия подробной документации об объекте анализа.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 Основывается на компетентности разработчиков и проектировщиков, для которых объективное выявление недостатков своих проектов может представлять определенные затруднения.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4. </w:t>
            </w:r>
            <w:proofErr w:type="gramStart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Сложен</w:t>
            </w:r>
            <w:proofErr w:type="gramEnd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для анализа комбинаций событий, приводящих к аварийным (опасным) ситуациям.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"kodeks://link/d?nd=1200160465&amp;point=mark=000000000000000000000000000000000000000000000000008PS0M4"\o"’’ГОСТ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Методы "Анализ видов и последствий отказов" (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Failure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Mode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Effect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Analysis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- FMEA) и "Анализ видов, последствий и критичности отказов" (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Failure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Mode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,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Effect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and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Criticality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Analysis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- FMECA)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BD159C" w:rsidRPr="00BD159C" w:rsidRDefault="00BD159C" w:rsidP="00BD159C">
      <w:pPr>
        <w:rPr>
          <w:rFonts w:ascii="Calibri" w:eastAsia="Times New Roman" w:hAnsi="Calibri" w:cs="Times New Roman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lastRenderedPageBreak/>
              <w:t>Содержание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5D5B4733" wp14:editId="11C74852">
                  <wp:extent cx="161925" cy="114300"/>
                  <wp:effectExtent l="0" t="0" r="952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Метод FMEA: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применяется при анализе сложных технических систем для идентификации отказов отдельного элемента системы, которые могут привести к невыполнению его функций, нештатному аварийному состоянию и (или) к возникновению опасных ситуаций;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позволяет проводить оценку, имеющую характер прогноза;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предполагает рассмотрение каждого аппарата (установки, блока, изделия) или составной части системы (элемента) на предмет того, как они стали неисправными (вид и причина отказа) и каким было бы воздействие отказа на техническую систему.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Метод FMECA помимо влияния вида отказа рассматривает степень его серьезности или относительный вес, а также включает ранжирование выявленных типов отказа по их критичности.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Преимущества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252E2EA2" wp14:editId="77BFC335">
                  <wp:extent cx="161925" cy="114300"/>
                  <wp:effectExtent l="0" t="0" r="952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Методы применимы к видам отказов, связанных с ошибками персонала, нарушением работоспособности оборудования и работы систем программного обеспечения и процессов.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 Позволяют идентифицировать виды и причины отказов, а также их последствия для системы и представить их в удобной форме.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 Применение метода помогает избежать дорогостоящих модификаций оборудования при техобслуживании за счет идентификации и устранения проблем на ранних стадиях проектирования.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4. Позволяют идентифицировать виды отказов в отдельной точке и установить требования к резервированию и системе безопасности.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5. Дают возможность получить входные данные для разработки программ мониторинга, предоставляя информацию о необходимых объектах мониторинга и их особенностях.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Недостатки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12B0B79A" wp14:editId="20803F47">
                  <wp:extent cx="161925" cy="114300"/>
                  <wp:effectExtent l="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Применяются для выявления отдельных типов отказов, но не их сочетаний (например, сочетания отказов технических устройств и человеческого фактора).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Рассматривают все отказы, в том числе не представляющие опасности, в </w:t>
            </w:r>
            <w:proofErr w:type="gramStart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связи</w:t>
            </w:r>
            <w:proofErr w:type="gramEnd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 чем требуют значительных затрат времени.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3. </w:t>
            </w:r>
            <w:proofErr w:type="gramStart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Трудоемкие</w:t>
            </w:r>
            <w:proofErr w:type="gramEnd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 длительные в отношении сложных систем.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"kodeks://link/d?nd=1200160465&amp;point=mark=000000000000000000000000000000000000000000000000008PK0LV"\o"’’ГОСТ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proofErr w:type="gram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Метод "Анализ дерева отказов (неисправностей)" (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Fault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Tree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Analysis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(FTA)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proofErr w:type="gramEnd"/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Содержание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73084056" wp14:editId="1E991044">
                  <wp:extent cx="161925" cy="114300"/>
                  <wp:effectExtent l="0" t="0" r="952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Применяется для анализа причин отказов оборудования и выработки мероприятий, наиболее эффективных для их устранения.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Представляет собой многоуровневую графологическую структуру причинных взаимосвязей, полученных в результате прослеживания опасных ситуаций в обратном порядке, для того чтобы отыскать возможные причины их возникновения. </w:t>
            </w:r>
          </w:p>
        </w:tc>
      </w:tr>
    </w:tbl>
    <w:p w:rsidR="00BD159C" w:rsidRPr="00BD159C" w:rsidRDefault="00BD159C" w:rsidP="00BD159C">
      <w:pPr>
        <w:rPr>
          <w:rFonts w:ascii="Calibri" w:eastAsia="Times New Roman" w:hAnsi="Calibri" w:cs="Times New Roman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lastRenderedPageBreak/>
              <w:t>Преимущества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7111BF44" wp14:editId="50E3873E">
                  <wp:extent cx="161925" cy="114300"/>
                  <wp:effectExtent l="0" t="0" r="952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Предоставление точного, систематизированного и гибкого подхода позволяет анализировать разнообразные факторы, включая действия персонала и физические явления.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 Применение подхода "сверху вниз" позволяет рассматривать воздействия тех отказов, которые непосредственно связаны с конечным событием.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3. Применение метода целесообразно для анализа систем, допускающих подключение большого количества устройств и взаимодействие с ними (систем, имеющих множественные интерфейсы).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Недостатки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43C832CF" wp14:editId="72520E81">
                  <wp:extent cx="161925" cy="114300"/>
                  <wp:effectExtent l="0" t="0" r="952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Неопределенности вероятностей базовых событий включаются в расчет вероятности конечного события, что может привести к высокому уровню неопределенности, когда вероятности события отказа точно не известны.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В некоторых случаях причинные события не связаны друг с другом, поэтому может быть </w:t>
            </w:r>
            <w:proofErr w:type="gramStart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затруднительно</w:t>
            </w:r>
            <w:proofErr w:type="gramEnd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установить, все ли существенные пути возникновения конечного события учтены.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 Подразумевает статичную модель, в которой не рассматривается фактор времени.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4. Применяется только в отношении бинарных состояний (неисправность - исправность), что затрудняет возможность учесть состояние частичного отказа элементов и условные отказы.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 Типы ошибок, связанных с персоналом, могут быть включены в "дерево неисправностей" только на качественном уровне.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6. Затруднительно учесть "эффекты домино".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7. Требует значительных затрат средств и времени.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8. Требует от специалистов глубокого понимания системы и конкретного рассмотрения каждый раз только одного определенного отказа.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"kodeks://link/d?nd=1200160465&amp;point=mark=000000000000000000000000000000000000000000000000008PM0LV"\o"’’ГОСТ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Метод "Анализ дерева событий" (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Event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Tree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Analysis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- ETA)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Содержание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51036CDD" wp14:editId="0B7439D2">
                  <wp:extent cx="161925" cy="114300"/>
                  <wp:effectExtent l="0" t="0" r="952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Используется для определения и анализа последовательности (вариантов) развития аварии, включающей сложные взаимодействия между техническими системами обеспечения безопасности.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 Предусматривает определение реакции системы или человека на опасную ситуацию для получения всех возможных альтернативных данных.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 Позволяет отображать ухудшающие или улучшающие события, принимая во внимание дополнительные системы, функции или барьеры.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4. Может применяться для моделирования, расчета и ранжирования (с точки зрения риска) различных неблагоприятных сценариев, следующих за исходным событием. Вероятность каждого сценария развития аварийной ситуации рассчитывается путем умножения 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вероятности основного события на вероятность конечного события. </w:t>
            </w:r>
          </w:p>
        </w:tc>
      </w:tr>
    </w:tbl>
    <w:p w:rsidR="00BD159C" w:rsidRPr="00BD159C" w:rsidRDefault="00BD159C" w:rsidP="00BD159C">
      <w:pPr>
        <w:rPr>
          <w:rFonts w:ascii="Calibri" w:eastAsia="Times New Roman" w:hAnsi="Calibri" w:cs="Times New Roman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Преимущества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04DAF779" wp14:editId="5F5489B0">
                  <wp:extent cx="161925" cy="114300"/>
                  <wp:effectExtent l="0" t="0" r="952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Позволяет схематично изобразить сценарии развития событий после возникновения начального события, провести анализ работоспособного состояния или отказа вспомогательных систем или функций, предназначенных для снижения последствий отказа, и оценить их влияние.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 Помогает учесть фактор времени, увидеть взаимосвязи и цепные реакции, которые сложно исследовать с помощью метода дерева неисправностей.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3. Метод графически представляет последовательность событий, что невозможно сделать с помощью метода дерева неисправностей.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Недостатки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49330FA3" wp14:editId="46EBACDE">
                  <wp:extent cx="161925" cy="114300"/>
                  <wp:effectExtent l="0" t="0" r="952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1. Для применения метода в качестве составной части всесторонней оценки риска необходимо идентифицировать все возможные исходные события, что можно осуществить при помощи других методов (например, </w:t>
            </w:r>
            <w:proofErr w:type="gramStart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</w:t>
            </w:r>
            <w:proofErr w:type="gramEnd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ZOP, PНА), однако всегда существует вероятность </w:t>
            </w:r>
            <w:proofErr w:type="spellStart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невыявления</w:t>
            </w:r>
            <w:proofErr w:type="spellEnd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значимых исходных событий.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Рассматривает только исправные и неисправные состояния системы, при этом затруднительно учесть отложенные нарушения исправного состояния или события восстановления системы.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"kodeks://link/d?nd=1200160465&amp;point=mark=000000000000000000000000000000000000000000000000008PS0M2"\o"’’ГОСТ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Метод предварительного анализа опасностей (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Preliminary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Hazard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Analysis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- PHA)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Содержание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5A539385" wp14:editId="534F2B1C">
                  <wp:extent cx="161925" cy="114300"/>
                  <wp:effectExtent l="0" t="0" r="9525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Применяется для выявления в общих чертах риска потенциальных опасностей или отдельных ситуаций и событий, которые могут причинить вред работающему человеку.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 Обычно используется на этапе проектирования рабочих мест, когда имеется очень мало информации о процессах функционирования и особенностях трудовой деятельности работников.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3. Может применяться при анализе уже существующих рабочих мест, на которых выбор более подробных и всесторонних методик оценки рисков затруднен или не является обоснованно необходимым. В таких случаях метод позволяет определить приоритет опасностей и рисков для их последующего детального анализа.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Преимущества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1F35AA30" wp14:editId="68CEC52F">
                  <wp:extent cx="161925" cy="114300"/>
                  <wp:effectExtent l="0" t="0" r="952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Применим в условиях ограниченной информации.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Позволяет рассматривать риски на ранних стадиях создания рабочих мест и проектов выполнения работ.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Недостатки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5F6F7C6E" wp14:editId="5305786D">
                  <wp:extent cx="161925" cy="114300"/>
                  <wp:effectExtent l="0" t="0" r="9525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 обеспечивает организацию подробной информацией о рисках и о способах их уменьшения.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p w:rsidR="00BD159C" w:rsidRPr="00BD159C" w:rsidRDefault="00BD159C" w:rsidP="00BD159C">
      <w:pPr>
        <w:rPr>
          <w:rFonts w:ascii="Calibri" w:eastAsia="Times New Roman" w:hAnsi="Calibri" w:cs="Times New Roman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"kodeks://link/d?nd=1200160465&amp;point=mark=000000000000000000000000000000000000000000000000008PU0M3"\o"’’ГОСТ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Метод "Оценка влияния человеческого фактора" (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Human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Reliability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Assessment</w:t>
            </w:r>
            <w:proofErr w:type="spellEnd"/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 xml:space="preserve"> - HRA)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Содержание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13E9E017" wp14:editId="0E469AD1">
                  <wp:extent cx="161925" cy="114300"/>
                  <wp:effectExtent l="0" t="0" r="952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Рассматривает воздействие работников на функционирование системы и может применяться для оценивания влияния ошибок на производительность и безопасность системы.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 Позволяет идентифицировать разнообразные типы ошибочных действий, которые могут иметь место, в том числе: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ошибка по оплошности - чисто техническая ошибка, выразившаяся в случайном невыполнении требуемого правильного действия;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ошибка по некомпетентности - интеллектуальная ошибка, выразившаяся в неверном или неправильном выполнении требуемого правильного действия;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лишнее действие, выполняемое вместо требуемого действия или в дополнение к нему.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Преимущества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45ADE9D7" wp14:editId="3BF0B380">
                  <wp:extent cx="161925" cy="114300"/>
                  <wp:effectExtent l="0" t="0" r="952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 Предоставление формализованного способа включения человеческого фактора в идентификацию опасностей и оценку рисков, связанных с выполнением работ, включая управление системами, в которых действия работников имеют существенное значение.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Формализованное рассмотрение типов ошибок работников и способов, позволяющих снизить возможность неблагоприятных событий вследствие ошибки.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Недостатки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1C22F98A" wp14:editId="04CBD3EA">
                  <wp:extent cx="161925" cy="114300"/>
                  <wp:effectExtent l="0" t="0" r="952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1. Сложность и разнообразие психических, физиологических и </w:t>
            </w:r>
            <w:proofErr w:type="spellStart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компетентностных</w:t>
            </w:r>
            <w:proofErr w:type="spellEnd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характеристик, поведенческих особенностей человеческого организма и личности работника, которые затрудняют определение простых типов опасностей и рисков.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Отдельные виды трудовой деятельности работников не имеют четкого набора строго правильных и (или) неправильных действий, что обуславливает затруднения в оценке риска.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t xml:space="preserve">Для каждого выявленного риска необходимо оценить его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begin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 xml:space="preserve"> HYPERLINK "kodeks://link/d?nd=1200160465&amp;point=mark=000000000000000000000000000000000000000000000000008OI0LM"\o"’’ГОСТ 12.0.230.5-2018 Система стандартов безопасности труда (ССБТ). Системы управления охраной труда ...’’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(утв. приказом Росстандарта от 07.09.2018 N 578-ст)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Применяется с 01.06.2019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Статус: действует с 01.06.2019"</w:instrTex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separate"/>
      </w:r>
      <w:r w:rsidRPr="00BD159C">
        <w:rPr>
          <w:rFonts w:ascii="Arial" w:eastAsia="Times New Roman" w:hAnsi="Arial" w:cs="Arial"/>
          <w:color w:val="0000AA"/>
          <w:sz w:val="20"/>
          <w:szCs w:val="20"/>
          <w:u w:val="single"/>
          <w:lang w:eastAsia="ru-RU"/>
        </w:rPr>
        <w:t>степень</w:t>
      </w:r>
      <w:r w:rsidRPr="00BD159C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end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t xml:space="preserve">; для каждого оцененного риска - принять решение о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begin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 xml:space="preserve"> HYPERLINK "kodeks://link/d?nd=1200160465&amp;point=mark=000000000000000000000000000000000000000000000000008OK0LN"\o"’’ГОСТ 12.0.230.5-2018 Система стандартов безопасности труда (ССБТ). Системы управления охраной труда ...’’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(утв. приказом Росстандарта от 07.09.2018 N 578-ст)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Применяется с 01.06.2019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Статус: действует с 01.06.2019"</w:instrTex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separate"/>
      </w:r>
      <w:r w:rsidRPr="00BD159C">
        <w:rPr>
          <w:rFonts w:ascii="Arial" w:eastAsia="Times New Roman" w:hAnsi="Arial" w:cs="Arial"/>
          <w:color w:val="0000AA"/>
          <w:sz w:val="20"/>
          <w:szCs w:val="20"/>
          <w:u w:val="single"/>
          <w:lang w:eastAsia="ru-RU"/>
        </w:rPr>
        <w:t>допустимости степени риска</w:t>
      </w:r>
      <w:r w:rsidRPr="00BD159C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end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t>. Основными требованиями к выбору или определению критерия допустимости риска являются его обоснованность и определенность.</w: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33"/>
        <w:gridCol w:w="4807"/>
      </w:tblGrid>
      <w:tr w:rsidR="00BD159C" w:rsidRPr="00BD159C" w:rsidTr="004F2C4D"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"kodeks://link/d?nd=1200160465&amp;point=mark=000000000000000000000000000000000000000000000000008OQ0LQ"\o"’’ГОСТ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Действия на заключительном этапе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159C" w:rsidRPr="00BD159C" w:rsidTr="004F2C4D">
        <w:tc>
          <w:tcPr>
            <w:tcW w:w="4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1A8D7501" wp14:editId="3FCE554B">
                  <wp:extent cx="171450" cy="24765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69AB0558" wp14:editId="60F8FEC6">
                  <wp:extent cx="171450" cy="24765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59C" w:rsidRPr="00BD159C" w:rsidTr="004F2C4D"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Уточнить полноту и правильность проведения оценки риска 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Определить правильность решений относительно допустимости риска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33"/>
        <w:gridCol w:w="4807"/>
      </w:tblGrid>
      <w:tr w:rsidR="00BD159C" w:rsidRPr="00BD159C" w:rsidTr="004F2C4D"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"kodeks://link/d?nd=1200160465&amp;point=mark=000000000000000000000000000000000000000000000000008OU0LS"\o"’’ГОСТ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Оценка рисков может проводиться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159C" w:rsidRPr="00BD159C" w:rsidTr="004F2C4D">
        <w:tc>
          <w:tcPr>
            <w:tcW w:w="4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B52CACB" wp14:editId="423AB7EB">
                  <wp:extent cx="171450" cy="24765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61AE9AF8" wp14:editId="027C0BD1">
                  <wp:extent cx="171450" cy="24765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59C" w:rsidRPr="00BD159C" w:rsidTr="004F2C4D"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Собственными силами, в том числе путем создания 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"kodeks://link/d?nd=1200160465&amp;point=mark=000000000000000000000000000000000000000000000000008P00LT"\o"’’ГОСТ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proofErr w:type="gramStart"/>
            <w:r w:rsidRPr="00BD159C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специальной комиссии</w:t>
            </w:r>
            <w:r w:rsidRPr="00BD159C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(лица, проводящие оценку риска, должны пройти</w:t>
            </w:r>
            <w:proofErr w:type="gramEnd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"kodeks://link/d?nd=1200160465&amp;point=mark=000000000000000000000000000000000000000000000000008OI0LL"\o"’’ГОСТ 12.0.230.5-2018 Система стандартов безопасности труда (ССБТ). Системы управления охраной труда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специальное обучение</w:t>
            </w:r>
            <w:r w:rsidRPr="00BD159C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 привлечением сторонних специалистов или организаций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t>Порядок проведения оценки риска может быть закреплен локальным нормативным актом организации (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begin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 xml:space="preserve"> HYPERLINK "kodeks://link/d?nd=1200160465&amp;point=mark=000000000000000000000000000000000000000000000000008P40LU"\o"’’ГОСТ 12.0.230.5-2018 Система стандартов безопасности труда (ССБТ). Системы управления охраной труда ...’’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(утв. приказом Росстандарта от 07.09.2018 N 578-ст)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Применяется с 01.06.2019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Статус: действует с 01.06.2019"</w:instrTex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separate"/>
      </w:r>
      <w:r w:rsidRPr="00BD159C">
        <w:rPr>
          <w:rFonts w:ascii="Arial" w:eastAsia="Times New Roman" w:hAnsi="Arial" w:cs="Arial"/>
          <w:color w:val="0000AA"/>
          <w:sz w:val="20"/>
          <w:szCs w:val="20"/>
          <w:u w:val="single"/>
          <w:lang w:eastAsia="ru-RU"/>
        </w:rPr>
        <w:t>методикой проведения оценки рисков</w:t>
      </w:r>
      <w:r w:rsidRPr="00BD159C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end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t>), в котором отражаются выбранные методы оценки риска применительно к специфике и особенностям производственной деятельности организации.</w: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t xml:space="preserve">Конечным результатом проведения оценки рисков является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begin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 xml:space="preserve"> HYPERLINK "kodeks://link/d?nd=1200160465&amp;point=mark=000000000000000000000000000000000000000000000000008P20LS"\o"’’ГОСТ 12.0.230.5-2018 Система стандартов безопасности труда (ССБТ). Системы управления охраной труда ...’’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(утв. приказом Росстандарта от 07.09.2018 N 578-ст)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Применяется с 01.06.2019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Статус: действует с 01.06.2019"</w:instrTex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separate"/>
      </w:r>
      <w:r w:rsidRPr="00BD159C">
        <w:rPr>
          <w:rFonts w:ascii="Arial" w:eastAsia="Times New Roman" w:hAnsi="Arial" w:cs="Arial"/>
          <w:color w:val="0000AA"/>
          <w:sz w:val="20"/>
          <w:szCs w:val="20"/>
          <w:u w:val="single"/>
          <w:lang w:eastAsia="ru-RU"/>
        </w:rPr>
        <w:t>реестр оцененных рисков</w:t>
      </w:r>
      <w:r w:rsidRPr="00BD159C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end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t xml:space="preserve">. Конкретную структуру и порядок ведения реестра оцененных рисков организация определяет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begin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 xml:space="preserve"> HYPERLINK "kodeks://link/d?nd=1200160465&amp;point=mark=000000000000000000000000000000000000000000000000008P40LT"\o"’’ГОСТ 12.0.230.5-2018 Система стандартов безопасности труда (ССБТ). Системы управления охраной труда ...’’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(утв. приказом Росстандарта от 07.09.2018 N 578-ст)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Применяется с 01.06.2019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Статус: действует с 01.06.2019"</w:instrTex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separate"/>
      </w:r>
      <w:r w:rsidRPr="00BD159C">
        <w:rPr>
          <w:rFonts w:ascii="Arial" w:eastAsia="Times New Roman" w:hAnsi="Arial" w:cs="Arial"/>
          <w:color w:val="0000AA"/>
          <w:sz w:val="20"/>
          <w:szCs w:val="20"/>
          <w:u w:val="single"/>
          <w:lang w:eastAsia="ru-RU"/>
        </w:rPr>
        <w:t>самостоятельно</w:t>
      </w:r>
      <w:r w:rsidRPr="00BD159C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end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t>, исходя из специфики (особенностей) производства.</w: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t xml:space="preserve">Реестр оцененных рисков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begin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 xml:space="preserve"> HYPERLINK "kodeks://link/d?nd=1200160465&amp;point=mark=000000000000000000000000000000000000000000000000008P00LQ"\o"’’ГОСТ 12.0.230.5-2018 Система стандартов безопасности труда (ССБТ). Системы управления охраной труда ...’’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(утв. приказом Росстандарта от 07.09.2018 N 578-ст)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Применяется с 01.06.2019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Статус: действует с 01.06.2019"</w:instrTex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separate"/>
      </w:r>
      <w:r w:rsidRPr="00BD159C">
        <w:rPr>
          <w:rFonts w:ascii="Arial" w:eastAsia="Times New Roman" w:hAnsi="Arial" w:cs="Arial"/>
          <w:color w:val="0000AA"/>
          <w:sz w:val="20"/>
          <w:szCs w:val="20"/>
          <w:u w:val="single"/>
          <w:lang w:eastAsia="ru-RU"/>
        </w:rPr>
        <w:t>может использоваться</w:t>
      </w:r>
      <w:r w:rsidRPr="00BD159C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end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t xml:space="preserve"> для разработки мер по управлению рисками и профилактике производственного травматизма и профессиональной заболеваемости в рамках СУОТ. </w: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</w:pP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  <w:t xml:space="preserve">       </w: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</w:pP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  <w:t xml:space="preserve"> Оценка рисков с учетом </w:t>
      </w:r>
      <w:r w:rsidRPr="00BD159C"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  <w:fldChar w:fldCharType="begin"/>
      </w:r>
      <w:r w:rsidRPr="00BD159C"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  <w:instrText xml:space="preserve"> HYPERLINK "kodeks://link/d?nd=1200080860&amp;point=mark=000000000000000000000000000000000000000000000000007D20K3"\o"’’ГОСТ Р 12.0.010-2009 Система стандартов безопасности труда (ССБТ). Системы управления охраной ...’’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  <w:instrText>(утв. приказом Росстандарта от 10.12.2009 N 680-ст)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  <w:instrText>Применяется с 01.01.2011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  <w:instrText>Статус: действующая редакция (действ. с 01.01.2011)"</w:instrText>
      </w:r>
      <w:r w:rsidRPr="00BD159C"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  <w:fldChar w:fldCharType="separate"/>
      </w:r>
      <w:r w:rsidRPr="00BD159C">
        <w:rPr>
          <w:rFonts w:ascii="Arial" w:eastAsia="Times New Roman" w:hAnsi="Arial" w:cs="Arial"/>
          <w:b/>
          <w:bCs/>
          <w:color w:val="0000AA"/>
          <w:sz w:val="20"/>
          <w:szCs w:val="20"/>
          <w:u w:val="single"/>
          <w:lang w:eastAsia="ru-RU"/>
        </w:rPr>
        <w:t>ГОСТ 12.0.010-2009</w:t>
      </w:r>
      <w:r w:rsidRPr="00BD159C">
        <w:rPr>
          <w:rFonts w:ascii="Arial" w:eastAsia="Times New Roman" w:hAnsi="Arial" w:cs="Arial"/>
          <w:b/>
          <w:bCs/>
          <w:color w:val="0000FF"/>
          <w:sz w:val="20"/>
          <w:szCs w:val="20"/>
          <w:u w:val="single"/>
          <w:lang w:eastAsia="ru-RU"/>
        </w:rPr>
        <w:t xml:space="preserve"> </w:t>
      </w:r>
      <w:r w:rsidRPr="00BD159C"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  <w:fldChar w:fldCharType="end"/>
      </w:r>
      <w:r w:rsidRPr="00BD159C">
        <w:rPr>
          <w:rFonts w:ascii="Arial" w:eastAsia="Times New Roman" w:hAnsi="Arial" w:cs="Arial"/>
          <w:b/>
          <w:bCs/>
          <w:color w:val="2B4279"/>
          <w:sz w:val="20"/>
          <w:szCs w:val="20"/>
          <w:lang w:eastAsia="ru-RU"/>
        </w:rPr>
        <w:t xml:space="preserve"> </w: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t xml:space="preserve">Правила и методы оценки рисков, связанных с ущербом здоровью и жизни работника в процессе его трудовой деятельности, представлены </w:t>
      </w:r>
      <w:proofErr w:type="gramStart"/>
      <w:r w:rsidRPr="00BD159C">
        <w:rPr>
          <w:rFonts w:ascii="Arial" w:eastAsia="Times New Roman" w:hAnsi="Arial" w:cs="Arial"/>
          <w:sz w:val="20"/>
          <w:szCs w:val="20"/>
          <w:lang w:eastAsia="ru-RU"/>
        </w:rPr>
        <w:t>в</w:t>
      </w:r>
      <w:proofErr w:type="gramEnd"/>
      <w:r w:rsidRPr="00BD159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begin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 xml:space="preserve"> HYPERLINK "kodeks://link/d?nd=1200080860&amp;point=mark=000000000000000000000000000000000000000000000000007D20K3"\o"’’ГОСТ Р 12.0.010-2009 Система стандартов безопасности труда (ССБТ). Системы управления охраной ...’’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(утв. приказом Росстандарта от 10.12.2009 N 680-ст)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Применяется с 01.01.2011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Статус: действующая редакция (действ. с 01.01.2011)"</w:instrTex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separate"/>
      </w:r>
      <w:r w:rsidRPr="00BD159C">
        <w:rPr>
          <w:rFonts w:ascii="Arial" w:eastAsia="Times New Roman" w:hAnsi="Arial" w:cs="Arial"/>
          <w:color w:val="0000AA"/>
          <w:sz w:val="20"/>
          <w:szCs w:val="20"/>
          <w:u w:val="single"/>
          <w:lang w:eastAsia="ru-RU"/>
        </w:rPr>
        <w:t xml:space="preserve">ГОСТ </w:t>
      </w:r>
      <w:proofErr w:type="gramStart"/>
      <w:r w:rsidRPr="00BD159C">
        <w:rPr>
          <w:rFonts w:ascii="Arial" w:eastAsia="Times New Roman" w:hAnsi="Arial" w:cs="Arial"/>
          <w:color w:val="0000AA"/>
          <w:sz w:val="20"/>
          <w:szCs w:val="20"/>
          <w:u w:val="single"/>
          <w:lang w:eastAsia="ru-RU"/>
        </w:rPr>
        <w:t>Р</w:t>
      </w:r>
      <w:proofErr w:type="gramEnd"/>
      <w:r w:rsidRPr="00BD159C">
        <w:rPr>
          <w:rFonts w:ascii="Arial" w:eastAsia="Times New Roman" w:hAnsi="Arial" w:cs="Arial"/>
          <w:color w:val="0000AA"/>
          <w:sz w:val="20"/>
          <w:szCs w:val="20"/>
          <w:u w:val="single"/>
          <w:lang w:eastAsia="ru-RU"/>
        </w:rPr>
        <w:t xml:space="preserve"> 12.0.010-2009 "Система стандартов безопасности труда (ССБТ). Системы управления охраной труда. Определение опасностей и оценка рисков"</w:t>
      </w:r>
      <w:r w:rsidRPr="00BD159C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end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t xml:space="preserve">Согласно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begin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 xml:space="preserve"> HYPERLINK "kodeks://link/d?nd=1200080860&amp;point=mark=000000000000000000000000000000000000000000000000007DE0K7"\o"’’ГОСТ Р 12.0.010-2009 Система стандартов безопасности труда (ССБТ). Системы управления охраной ...’’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(утв. приказом Росстандарта от 10.12.2009 N 680-ст)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Применяется с 01.01.2011</w:instrTex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159C">
        <w:rPr>
          <w:rFonts w:ascii="Arial" w:eastAsia="Times New Roman" w:hAnsi="Arial" w:cs="Arial"/>
          <w:sz w:val="20"/>
          <w:szCs w:val="20"/>
          <w:lang w:eastAsia="ru-RU"/>
        </w:rPr>
        <w:instrText>Статус: действующая редакция (действ. с 01.01.2011)"</w:instrTex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separate"/>
      </w:r>
      <w:r w:rsidRPr="00BD159C">
        <w:rPr>
          <w:rFonts w:ascii="Arial" w:eastAsia="Times New Roman" w:hAnsi="Arial" w:cs="Arial"/>
          <w:color w:val="0000AA"/>
          <w:sz w:val="20"/>
          <w:szCs w:val="20"/>
          <w:u w:val="single"/>
          <w:lang w:eastAsia="ru-RU"/>
        </w:rPr>
        <w:t xml:space="preserve">разделу 4 ГОСТ </w:t>
      </w:r>
      <w:proofErr w:type="gramStart"/>
      <w:r w:rsidRPr="00BD159C">
        <w:rPr>
          <w:rFonts w:ascii="Arial" w:eastAsia="Times New Roman" w:hAnsi="Arial" w:cs="Arial"/>
          <w:color w:val="0000AA"/>
          <w:sz w:val="20"/>
          <w:szCs w:val="20"/>
          <w:u w:val="single"/>
          <w:lang w:eastAsia="ru-RU"/>
        </w:rPr>
        <w:t>Р</w:t>
      </w:r>
      <w:proofErr w:type="gramEnd"/>
      <w:r w:rsidRPr="00BD159C">
        <w:rPr>
          <w:rFonts w:ascii="Arial" w:eastAsia="Times New Roman" w:hAnsi="Arial" w:cs="Arial"/>
          <w:color w:val="0000AA"/>
          <w:sz w:val="20"/>
          <w:szCs w:val="20"/>
          <w:u w:val="single"/>
          <w:lang w:eastAsia="ru-RU"/>
        </w:rPr>
        <w:t xml:space="preserve"> 12.0.010-2009</w:t>
      </w:r>
      <w:r w:rsidRPr="00BD159C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fldChar w:fldCharType="end"/>
      </w:r>
      <w:r w:rsidRPr="00BD159C">
        <w:rPr>
          <w:rFonts w:ascii="Arial" w:eastAsia="Times New Roman" w:hAnsi="Arial" w:cs="Arial"/>
          <w:sz w:val="20"/>
          <w:szCs w:val="20"/>
          <w:lang w:eastAsia="ru-RU"/>
        </w:rPr>
        <w:t xml:space="preserve"> риск может быть рассчитан посредством суммирования произведений возможных значений ущерба здоровью и жизни работника на вероятности их наступления.</w:t>
      </w:r>
    </w:p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33"/>
        <w:gridCol w:w="4807"/>
      </w:tblGrid>
      <w:tr w:rsidR="00BD159C" w:rsidRPr="00BD159C" w:rsidTr="004F2C4D"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"kodeks://link/d?nd=1200080860&amp;point=mark=000000000000000000000000000000000000000000000000007DG0K8"\o"’’ГОСТ Р 12.0.010-2009 Система стандартов безопасности труда (ССБТ). Системы управления охраной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10.12.2009 N 680-ст)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01.01.2011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действующая редакция (действ. с 01.01.2011)"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Ущерб может проявляться в виде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159C" w:rsidRPr="00BD159C" w:rsidTr="004F2C4D">
        <w:tc>
          <w:tcPr>
            <w:tcW w:w="4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6BDDFDBB" wp14:editId="3E5BE09A">
                  <wp:extent cx="171450" cy="24765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65C4537A" wp14:editId="37C35FDD">
                  <wp:extent cx="171450" cy="24765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59C" w:rsidRPr="00BD159C" w:rsidTr="004F2C4D"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Хронических или острых профзаболеваний 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Производственного травматизма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222"/>
        <w:gridCol w:w="3209"/>
        <w:gridCol w:w="3209"/>
      </w:tblGrid>
      <w:tr w:rsidR="00BD159C" w:rsidRPr="00BD159C" w:rsidTr="004F2C4D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Количественные показатели ущерба </w:t>
            </w:r>
          </w:p>
        </w:tc>
      </w:tr>
      <w:tr w:rsidR="00BD159C" w:rsidRPr="00BD159C" w:rsidTr="004F2C4D">
        <w:tc>
          <w:tcPr>
            <w:tcW w:w="3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5D417461" wp14:editId="331A97F0">
                  <wp:extent cx="171450" cy="24765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1E439ED7" wp14:editId="233170FA">
                  <wp:extent cx="171450" cy="24765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3AC7FC9D" wp14:editId="2532EC0D">
                  <wp:extent cx="171450" cy="24765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59C" w:rsidRPr="00BD159C" w:rsidTr="004F2C4D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Количество и тяжесть профзаболеваний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 Продолжительность временной утраты трудоспособности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Сумма пособий по временной нетрудоспособности </w:t>
            </w:r>
          </w:p>
        </w:tc>
      </w:tr>
      <w:tr w:rsidR="00BD159C" w:rsidRPr="00BD159C" w:rsidTr="004F2C4D">
        <w:tc>
          <w:tcPr>
            <w:tcW w:w="32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2D968079" wp14:editId="01CB5BF5">
                  <wp:extent cx="171450" cy="24765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719369BE" wp14:editId="3F4C9084">
                  <wp:extent cx="171450" cy="24765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7750F755" wp14:editId="782D80D8">
                  <wp:extent cx="171450" cy="24765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59C" w:rsidRPr="00BD159C" w:rsidTr="004F2C4D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Количество случаев стойкой утраты профессиональной трудоспособности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Степень утраты профессиональной трудоспособности в процентах </w:t>
            </w:r>
          </w:p>
        </w:tc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Сумма расходов на обеспечение по страхованию по данному виду экономической деятельности </w:t>
            </w:r>
          </w:p>
        </w:tc>
      </w:tr>
    </w:tbl>
    <w:p w:rsidR="00BD159C" w:rsidRPr="00BD159C" w:rsidRDefault="00BD159C" w:rsidP="00BD159C">
      <w:pPr>
        <w:rPr>
          <w:rFonts w:ascii="Calibri" w:eastAsia="Times New Roman" w:hAnsi="Calibri" w:cs="Times New Roman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Качественные показатели ущерба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Ущерб от несчастных случаев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04B4E02C" wp14:editId="2A08BBA5">
                  <wp:extent cx="161925" cy="114300"/>
                  <wp:effectExtent l="0" t="0" r="9525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зависимости от тяжести - легкий, средний или тяжелый ущерб.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Ущерб, связанный с нарушениями функций организма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2C13839B" wp14:editId="03ACA2E9">
                  <wp:extent cx="161925" cy="114300"/>
                  <wp:effectExtent l="0" t="0" r="9525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Незначительный, умеренный, выраженный или значительно выраженный ущерб.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Ущерб здоровью, вызываемый профзаболеваниями 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10F270B5" wp14:editId="3FDA7BBD">
                  <wp:extent cx="161925" cy="114300"/>
                  <wp:effectExtent l="0" t="0" r="9525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зависимости от степени выраженности нарушения функций - первая, вторая, третья, четвертая или пятая группы.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33"/>
        <w:gridCol w:w="4807"/>
      </w:tblGrid>
      <w:tr w:rsidR="00BD159C" w:rsidRPr="00BD159C" w:rsidTr="004F2C4D"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 xml:space="preserve"> HYPERLINK "kodeks://link/d?nd=1200080860&amp;point=mark=000000000000000000000000000000000000000000000000007DI0K9"\o"’’ГОСТ Р 12.0.010-2009 Система стандартов безопасности труда (ССБТ). Системы управления охраной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(утв. приказом Росстандарта от 10.12.2009 N 680-ст)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Применяется с 01.01.2011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instrText>Статус: действующая редакция (действ. с 01.01.2011)"</w:instrTex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b/>
                <w:bCs/>
                <w:color w:val="0000AA"/>
                <w:sz w:val="18"/>
                <w:szCs w:val="18"/>
                <w:u w:val="single"/>
                <w:lang w:eastAsia="ru-RU"/>
              </w:rPr>
              <w:t>Оценка рисков выполняется</w:t>
            </w:r>
            <w:r w:rsidRPr="00BD159C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D159C" w:rsidRPr="00BD159C" w:rsidTr="004F2C4D">
        <w:tc>
          <w:tcPr>
            <w:tcW w:w="4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3BC9CD0A" wp14:editId="47CBC822">
                  <wp:extent cx="171450" cy="24765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6FC98F79" wp14:editId="22920DF8">
                  <wp:extent cx="171450" cy="247650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59C" w:rsidRPr="00BD159C" w:rsidTr="004F2C4D"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Прямыми методами 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Косвенными методами </w:t>
            </w:r>
          </w:p>
        </w:tc>
      </w:tr>
    </w:tbl>
    <w:p w:rsidR="00BD159C" w:rsidRPr="00BD159C" w:rsidRDefault="00BD159C" w:rsidP="00BD159C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eastAsia="Times New Roman" w:hAnsi="Arial, sans-serif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BD159C" w:rsidRPr="00BD159C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BD159C" w:rsidRPr="00BD159C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Методы оценки риска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Прямые методы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582EA40E" wp14:editId="1058996F">
                  <wp:extent cx="161925" cy="114300"/>
                  <wp:effectExtent l="0" t="0" r="9525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Используют статистическую информацию по выбранным показателям риска или непосредственно показатели ущерба и вероятности их наступления.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 наличии достаточной статистической информации применяются </w:t>
            </w: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методы многомерного статистического анализа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; при недостаточности - </w:t>
            </w: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статистический по объединенной выборке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вероятностно-статистический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или </w:t>
            </w:r>
            <w:r w:rsidRPr="00BD15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экспертно-статистический методы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"kodeks://link/d?nd=1200080860&amp;point=mark=000000000000000000000000000000000000000000000000007DM0KB"\o"’’ГОСТ Р 12.0.010-2009 Система стандартов безопасности труда (ССБТ). Системы управления охраной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10.12.2009 N 680-ст)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01.01.2011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01.01.2011)"</w:instrTex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Наиболее часто применяемые показатели рисков</w:t>
            </w:r>
            <w:r w:rsidRPr="00BD159C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 отсутствии статистической информации о значениях выбранных показателей рисков или необходимости установить влияние опасностей на риски оценка рисков в организации (на рабочем месте) проводится 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"kodeks://link/d?nd=1200080860&amp;point=mark=000000000000000000000000000000000000000000000000007DM0KA"\o"’’ГОСТ Р 12.0.010-2009 Система стандартов безопасности труда (ССБТ). Системы управления охраной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10.12.2009 N 680-ст)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01.01.2011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01.01.2011)"</w:instrTex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экспертными методами по предусмотренному алгоритму</w:t>
            </w:r>
            <w:r w:rsidRPr="00BD159C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159C" w:rsidRPr="00BD159C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Косвенные методы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BD159C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320303D4" wp14:editId="38B6A0F3">
                  <wp:extent cx="161925" cy="114300"/>
                  <wp:effectExtent l="0" t="0" r="9525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Используют показатели, характеризующие отклонение существующих (контролируемых) условий (параметров) от норм и имеющие причинно-следственную связь с рисками.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Показателями отклонения могут быть: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отклонение значений (измеренных или рассчитанных) вредных и (или) опасных производственных факторов (концентрация, доза, уровень и т.д.) от предельно допустимых концентраций, уровней и других известных предельных значений;</w:t>
            </w:r>
            <w:proofErr w:type="gramEnd"/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отношение не выполненных на рабочем месте нормативных требований охраны труда к их общему количеству.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"kodeks://link/d?nd=1200080860&amp;point=mark=000000000000000000000000000000000000000000000000007DM0K8"\o"’’ГОСТ Р 12.0.010-2009 Система стандартов безопасности труда (ССБТ). Системы управления охраной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10.12.2009 N 680-ст)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01.01.2011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01.01.2011)"</w:instrTex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Косвенный метод оценки рисков на основе определения класса условий труда</w:t>
            </w:r>
            <w:r w:rsidRPr="00BD159C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"kodeks://link/d?nd=1200080860&amp;point=mark=000000000000000000000000000000000000000000000000007DO0K9"\o"’’ГОСТ Р 12.0.010-2009 Система стандартов безопасности труда (ССБТ). Системы управления охраной ...’’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10.12.2009 N 680-ст)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01.01.2011</w:instrText>
            </w:r>
          </w:p>
          <w:p w:rsidR="00BD159C" w:rsidRPr="00BD159C" w:rsidRDefault="00BD159C" w:rsidP="00BD1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01.01.2011)"</w:instrTex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BD159C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Косвенный метод оценки рисков на основе ранжирования уровня требований</w:t>
            </w:r>
            <w:r w:rsidRPr="00BD159C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BD159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</w:p>
        </w:tc>
      </w:tr>
    </w:tbl>
    <w:p w:rsidR="00BD159C" w:rsidRPr="00BD159C" w:rsidRDefault="00BD159C" w:rsidP="00BD159C">
      <w:pPr>
        <w:rPr>
          <w:rFonts w:ascii="Calibri" w:eastAsia="Times New Roman" w:hAnsi="Calibri" w:cs="Times New Roman"/>
          <w:lang w:eastAsia="ru-RU"/>
        </w:rPr>
      </w:pPr>
    </w:p>
    <w:p w:rsidR="00BD159C" w:rsidRDefault="00BD159C" w:rsidP="00E87201">
      <w:pPr>
        <w:shd w:val="clear" w:color="auto" w:fill="FFFFFF"/>
        <w:spacing w:before="810" w:after="0" w:line="240" w:lineRule="auto"/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</w:pPr>
    </w:p>
    <w:p w:rsidR="00BD159C" w:rsidRDefault="00BD159C" w:rsidP="00E87201">
      <w:pPr>
        <w:shd w:val="clear" w:color="auto" w:fill="FFFFFF"/>
        <w:spacing w:before="810" w:after="0" w:line="240" w:lineRule="auto"/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</w:pPr>
    </w:p>
    <w:p w:rsidR="00BD159C" w:rsidRDefault="00BD159C" w:rsidP="00E87201">
      <w:pPr>
        <w:shd w:val="clear" w:color="auto" w:fill="FFFFFF"/>
        <w:spacing w:before="810" w:after="0" w:line="240" w:lineRule="auto"/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</w:pPr>
    </w:p>
    <w:p w:rsidR="00BD159C" w:rsidRDefault="00BD159C" w:rsidP="00E87201">
      <w:pPr>
        <w:shd w:val="clear" w:color="auto" w:fill="FFFFFF"/>
        <w:spacing w:before="810" w:after="0" w:line="240" w:lineRule="auto"/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</w:pPr>
    </w:p>
    <w:p w:rsidR="00BD159C" w:rsidRDefault="00BD159C" w:rsidP="00E87201">
      <w:pPr>
        <w:shd w:val="clear" w:color="auto" w:fill="FFFFFF"/>
        <w:spacing w:before="810" w:after="0" w:line="240" w:lineRule="auto"/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</w:pPr>
    </w:p>
    <w:p w:rsidR="00BD159C" w:rsidRDefault="00BD159C" w:rsidP="00E87201">
      <w:pPr>
        <w:shd w:val="clear" w:color="auto" w:fill="FFFFFF"/>
        <w:spacing w:before="810" w:after="0" w:line="240" w:lineRule="auto"/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</w:pPr>
    </w:p>
    <w:p w:rsidR="005840A7" w:rsidRDefault="005840A7" w:rsidP="0040176D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>
        <w:rPr>
          <w:rFonts w:ascii="var(--content-font)" w:eastAsia="Times New Roman" w:hAnsi="var(--content-font)" w:cs="Arial"/>
          <w:noProof/>
          <w:color w:val="000000"/>
          <w:spacing w:val="-3"/>
          <w:sz w:val="27"/>
          <w:szCs w:val="27"/>
          <w:lang w:eastAsia="ru-RU"/>
        </w:rPr>
        <w:lastRenderedPageBreak/>
        <w:drawing>
          <wp:inline distT="0" distB="0" distL="0" distR="0">
            <wp:extent cx="4131734" cy="2759724"/>
            <wp:effectExtent l="0" t="0" r="2540" b="2540"/>
            <wp:docPr id="14" name="Рисунок 14" descr="C:\Users\Ольга\Downloads\7d89f3a4-2f78-11ed-abce-ba2178cd8f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7d89f3a4-2f78-11ed-abce-ba2178cd8f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783" cy="275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76D" w:rsidRPr="0040176D" w:rsidRDefault="0040176D" w:rsidP="0040176D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Приказ Министерства труда и социальной защиты РФ </w:t>
      </w:r>
      <w:hyperlink r:id="rId11" w:tooltip="Об утверждении Рекомендаций по выбору методов оценки уровней профессиональных рисков и по снижению уровней таких рисков" w:history="1">
        <w:r w:rsidRPr="007566C0">
          <w:rPr>
            <w:rStyle w:val="a7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от 28 декабря 2021 г. № 926</w:t>
        </w:r>
      </w:hyperlink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«Об утверждении Рекомендаций по выбору методов оценки уровней профессиональных рисков и по снижению уровней таких рисков».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Рекомендации по выбору методов оценки уровней профессиональных рисков и по снижению уровней таких рисков (далее - Рекомендации) разработаны в целях оказания методической и практической помощи руководителям и специалистам по охране труда организаций, представителям профсоюзов и другим лицам, заинтересованным в создании системы управления профессиональными рисками в рамках системы управления охраной труда у работодателя, в том числе в целях соблюдения требований:</w:t>
      </w:r>
      <w:proofErr w:type="gramEnd"/>
    </w:p>
    <w:p w:rsidR="0040176D" w:rsidRPr="0040176D" w:rsidRDefault="0040176D" w:rsidP="0040176D">
      <w:pPr>
        <w:numPr>
          <w:ilvl w:val="0"/>
          <w:numId w:val="19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правил по охране труда;</w:t>
      </w:r>
    </w:p>
    <w:p w:rsidR="0040176D" w:rsidRPr="0040176D" w:rsidRDefault="0040176D" w:rsidP="0040176D">
      <w:pPr>
        <w:numPr>
          <w:ilvl w:val="0"/>
          <w:numId w:val="1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методических рекомендаций по учету микротравм;</w:t>
      </w:r>
    </w:p>
    <w:p w:rsidR="0040176D" w:rsidRPr="0040176D" w:rsidRDefault="0040176D" w:rsidP="0040176D">
      <w:pPr>
        <w:numPr>
          <w:ilvl w:val="0"/>
          <w:numId w:val="1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положения об особенностях расследования несчастных случаев на производстве;</w:t>
      </w:r>
    </w:p>
    <w:p w:rsidR="0040176D" w:rsidRPr="0040176D" w:rsidRDefault="0040176D" w:rsidP="0040176D">
      <w:pPr>
        <w:numPr>
          <w:ilvl w:val="0"/>
          <w:numId w:val="1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примерного положения о системе управления охраной труда;</w:t>
      </w:r>
    </w:p>
    <w:p w:rsidR="0040176D" w:rsidRPr="0040176D" w:rsidRDefault="0040176D" w:rsidP="0040176D">
      <w:pPr>
        <w:numPr>
          <w:ilvl w:val="0"/>
          <w:numId w:val="1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общих требований к организации безопасного рабочего места;</w:t>
      </w:r>
    </w:p>
    <w:p w:rsidR="0040176D" w:rsidRPr="0040176D" w:rsidRDefault="0040176D" w:rsidP="0040176D">
      <w:pPr>
        <w:numPr>
          <w:ilvl w:val="0"/>
          <w:numId w:val="1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иных федеральных норм и правил в области охраны труда.</w:t>
      </w:r>
    </w:p>
    <w:p w:rsidR="0040176D" w:rsidRPr="0040176D" w:rsidRDefault="0040176D" w:rsidP="0040176D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Рекомендации содержат критерии, которыми работодателю рекомендуется руководствоваться при выборе методов оценки уровней профессиональных рисков, краткое описание применяемых в Российской Федерации и зарубежной практике методов оценки уровней профессиональных рисков, процесс и этапы </w:t>
      </w: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выбора метода оценки уровней профессиональных рисков, а также примеры оценочных средств.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Организации, осуществляющие оценку уровня профессиональных рисков (как сами работодатели, так и экспертные организации, выполняющие оценку на договорной основе), </w:t>
      </w: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 xml:space="preserve">вправе использовать иные способы и методы, </w:t>
      </w:r>
      <w:proofErr w:type="gramStart"/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кроме</w:t>
      </w:r>
      <w:proofErr w:type="gramEnd"/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 xml:space="preserve"> указанных в Рекомендациях.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Работодатель вправе разработать собственный метод оценки уровня профессиональных рисков, исходя из специфики своей деятельности.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​</w:t>
      </w: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Методы оценки уровня профессиональных рисков, рекомендуемые для предприятий малого и микро-бизнеса</w:t>
      </w:r>
    </w:p>
    <w:p w:rsidR="0040176D" w:rsidRPr="0040176D" w:rsidRDefault="0040176D" w:rsidP="0040176D">
      <w:pPr>
        <w:numPr>
          <w:ilvl w:val="0"/>
          <w:numId w:val="20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Контрольные листы;</w:t>
      </w:r>
    </w:p>
    <w:p w:rsidR="0040176D" w:rsidRPr="0040176D" w:rsidRDefault="0040176D" w:rsidP="0040176D">
      <w:pPr>
        <w:numPr>
          <w:ilvl w:val="0"/>
          <w:numId w:val="20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Матричный метод.</w:t>
      </w:r>
    </w:p>
    <w:p w:rsidR="0040176D" w:rsidRDefault="0040176D" w:rsidP="00E87201">
      <w:pPr>
        <w:shd w:val="clear" w:color="auto" w:fill="FFFFFF"/>
        <w:spacing w:before="615" w:after="0" w:line="240" w:lineRule="auto"/>
        <w:jc w:val="center"/>
        <w:rPr>
          <w:rFonts w:ascii="var(--content-font)" w:eastAsia="Times New Roman" w:hAnsi="var(--content-font)" w:cs="Arial"/>
          <w:b/>
          <w:bCs/>
          <w:color w:val="000000"/>
          <w:spacing w:val="-3"/>
          <w:sz w:val="30"/>
          <w:szCs w:val="30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30"/>
          <w:szCs w:val="30"/>
          <w:lang w:eastAsia="ru-RU"/>
        </w:rPr>
        <w:t>Наиболее распространенные методы оценки рисков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Матричный метод на основе балльной оценки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Матрица рассматриваемого метода оценки риска строится на соотношении вероятности причинения ущерба от выявленной опасности и тяжести последствий ущерба, где вероятность и тяжесть имеют свои весовые коэффициенты (баллы), а уровень риска рассчитывается путем перемножения баллов по показателям вероятности и тяжести по каждой идентифицированной опасности, что отличает данный метод от матричного метода на основе экспертных заключений, описанном в разделе 4.1.2 Рекомендаций (Технология</w:t>
      </w:r>
      <w:proofErr w:type="gramEnd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Б.9.3 </w:t>
      </w:r>
      <w:hyperlink r:id="rId12" w:tooltip="ГОСТ Р 58771-2019 Менеджмент риска. Технологии оценки риска (Переиздание)" w:history="1">
        <w:r w:rsidRPr="007566C0">
          <w:rPr>
            <w:rStyle w:val="a7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ГОСТ </w:t>
        </w:r>
        <w:proofErr w:type="gramStart"/>
        <w:r w:rsidRPr="007566C0">
          <w:rPr>
            <w:rStyle w:val="a7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Р</w:t>
        </w:r>
        <w:proofErr w:type="gramEnd"/>
        <w:r w:rsidRPr="007566C0">
          <w:rPr>
            <w:rStyle w:val="a7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 58771-2019</w:t>
        </w:r>
      </w:hyperlink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«Менеджмент риска. </w:t>
      </w: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Технологии оценки риска» Утвержден и введен в действие приказом Федерального агентства по техническому регулированию и метрологии от 17 декабря 2019 г. № 1405-ст.).</w:t>
      </w:r>
      <w:proofErr w:type="gramEnd"/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Данный метод, не требующий значительных временных и финансовых затрат, а также углублённого обучения использующих его специалистов (в случае необходимости достаточно краткосрочного повышения квалификации), рекомендуется применять для оценки рисков на любом уровне: организации в целом, на уровне проекта/отдела, а также для конкретного оборудования или процесса. Метод также рекомендуется использовать для принятия решений на любом уровне (от стратегического до операционного), для любого временного диапазона наличия профессионального риска.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Примеры матриц с различной градацией по степени вероятности и тяжести приведены в приложениях № 11-15.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Анализ "галстук-бабочка" (</w:t>
      </w:r>
      <w:proofErr w:type="spellStart"/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Bow</w:t>
      </w:r>
      <w:proofErr w:type="spellEnd"/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 xml:space="preserve"> </w:t>
      </w:r>
      <w:proofErr w:type="spellStart"/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Tie</w:t>
      </w:r>
      <w:proofErr w:type="spellEnd"/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 xml:space="preserve"> </w:t>
      </w:r>
      <w:proofErr w:type="spellStart"/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Analysis</w:t>
      </w:r>
      <w:proofErr w:type="spellEnd"/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)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Данный метод оценки риска рекомендуется использовать после того, как все опасности и/или опасные ситуации вместе с их источниками были выявлены, перечислены и расставлены в порядке приоритета, чтобы разработать наиболее эффективные меры управления наиболее значимыми профессиональными рисками.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Анализ "галстук-бабочка" представляет собой способ описания пути развития опасного события от причин до последствий при помощи схемы с указанием барьеров (мер управления и/или контроля) между причинами и опасными событиями, а также опасными событиями и их последствиями.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Данный метод оценки риска рекомендуется выполнять группе специалистов работодателя, например, назначенными работниками подразделения, которые владеют информацией об оцениваемой опасной ситуации или выполняемой работе, в том числе с привлечением работников, непосредственно связанных с данной опасностью (опасной ситуацией, выполняемой работой) на рабочих местах (в рабочих зонах), с участием службы охраны труда, а также в случае необходимости - с привлечением экспертов сторонних организаций.</w:t>
      </w:r>
      <w:proofErr w:type="gramEnd"/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Метод, описанный в национальном стандарте (Технология Б.4.2 </w:t>
      </w:r>
      <w:hyperlink r:id="rId13" w:tooltip="ГОСТ Р 58771-2019 Менеджмент риска. Технологии оценки риска (Переиздание)" w:history="1">
        <w:r w:rsidRPr="007566C0">
          <w:rPr>
            <w:rStyle w:val="a7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ГОСТ </w:t>
        </w:r>
        <w:proofErr w:type="gramStart"/>
        <w:r w:rsidRPr="007566C0">
          <w:rPr>
            <w:rStyle w:val="a7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Р</w:t>
        </w:r>
        <w:proofErr w:type="gramEnd"/>
        <w:r w:rsidRPr="007566C0">
          <w:rPr>
            <w:rStyle w:val="a7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 58771-2019</w:t>
        </w:r>
      </w:hyperlink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«Менеджмент риска. </w:t>
      </w: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Технологии оценки риска» Утвержден и введен в действие </w:t>
      </w:r>
      <w:bookmarkStart w:id="0" w:name="_GoBack"/>
      <w:r w:rsidR="007566C0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fldChar w:fldCharType="begin"/>
      </w:r>
      <w:r w:rsidR="007566C0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instrText xml:space="preserve"> HYPERLINK "kodeks://link/d?nd=564233149" \o "</w:instrText>
      </w:r>
      <w:r w:rsidR="007566C0">
        <w:rPr>
          <w:rFonts w:ascii="var(--content-font)" w:eastAsia="Times New Roman" w:hAnsi="var(--content-font)" w:cs="Arial" w:hint="eastAsia"/>
          <w:color w:val="000000"/>
          <w:spacing w:val="-3"/>
          <w:sz w:val="27"/>
          <w:szCs w:val="27"/>
          <w:lang w:eastAsia="ru-RU"/>
        </w:rPr>
        <w:instrText>Об</w:instrText>
      </w:r>
      <w:r w:rsidR="007566C0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instrText xml:space="preserve"> </w:instrText>
      </w:r>
      <w:r w:rsidR="007566C0">
        <w:rPr>
          <w:rFonts w:ascii="var(--content-font)" w:eastAsia="Times New Roman" w:hAnsi="var(--content-font)" w:cs="Arial" w:hint="eastAsia"/>
          <w:color w:val="000000"/>
          <w:spacing w:val="-3"/>
          <w:sz w:val="27"/>
          <w:szCs w:val="27"/>
          <w:lang w:eastAsia="ru-RU"/>
        </w:rPr>
        <w:instrText>утверждении</w:instrText>
      </w:r>
      <w:r w:rsidR="007566C0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instrText xml:space="preserve"> </w:instrText>
      </w:r>
      <w:r w:rsidR="007566C0">
        <w:rPr>
          <w:rFonts w:ascii="var(--content-font)" w:eastAsia="Times New Roman" w:hAnsi="var(--content-font)" w:cs="Arial" w:hint="eastAsia"/>
          <w:color w:val="000000"/>
          <w:spacing w:val="-3"/>
          <w:sz w:val="27"/>
          <w:szCs w:val="27"/>
          <w:lang w:eastAsia="ru-RU"/>
        </w:rPr>
        <w:instrText>национального</w:instrText>
      </w:r>
      <w:r w:rsidR="007566C0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instrText xml:space="preserve"> </w:instrText>
      </w:r>
      <w:r w:rsidR="007566C0">
        <w:rPr>
          <w:rFonts w:ascii="var(--content-font)" w:eastAsia="Times New Roman" w:hAnsi="var(--content-font)" w:cs="Arial" w:hint="eastAsia"/>
          <w:color w:val="000000"/>
          <w:spacing w:val="-3"/>
          <w:sz w:val="27"/>
          <w:szCs w:val="27"/>
          <w:lang w:eastAsia="ru-RU"/>
        </w:rPr>
        <w:instrText>стандарта</w:instrText>
      </w:r>
      <w:r w:rsidR="007566C0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instrText xml:space="preserve"> </w:instrText>
      </w:r>
      <w:r w:rsidR="007566C0">
        <w:rPr>
          <w:rFonts w:ascii="var(--content-font)" w:eastAsia="Times New Roman" w:hAnsi="var(--content-font)" w:cs="Arial" w:hint="eastAsia"/>
          <w:color w:val="000000"/>
          <w:spacing w:val="-3"/>
          <w:sz w:val="27"/>
          <w:szCs w:val="27"/>
          <w:lang w:eastAsia="ru-RU"/>
        </w:rPr>
        <w:instrText>Российской</w:instrText>
      </w:r>
      <w:r w:rsidR="007566C0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instrText xml:space="preserve"> </w:instrText>
      </w:r>
      <w:r w:rsidR="007566C0">
        <w:rPr>
          <w:rFonts w:ascii="var(--content-font)" w:eastAsia="Times New Roman" w:hAnsi="var(--content-font)" w:cs="Arial" w:hint="eastAsia"/>
          <w:color w:val="000000"/>
          <w:spacing w:val="-3"/>
          <w:sz w:val="27"/>
          <w:szCs w:val="27"/>
          <w:lang w:eastAsia="ru-RU"/>
        </w:rPr>
        <w:instrText>Федерации</w:instrText>
      </w:r>
      <w:r w:rsidR="007566C0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instrText xml:space="preserve"> " </w:instrText>
      </w:r>
      <w:r w:rsidR="007566C0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r>
      <w:r w:rsidR="007566C0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fldChar w:fldCharType="separate"/>
      </w:r>
      <w:r w:rsidRPr="007566C0">
        <w:rPr>
          <w:rStyle w:val="a7"/>
          <w:rFonts w:ascii="var(--content-font)" w:eastAsia="Times New Roman" w:hAnsi="var(--content-font)" w:cs="Arial"/>
          <w:color w:val="E48B00"/>
          <w:spacing w:val="-3"/>
          <w:sz w:val="27"/>
          <w:szCs w:val="27"/>
          <w:lang w:eastAsia="ru-RU"/>
        </w:rPr>
        <w:t>приказом Федерального агентства по техническому регулированию и метрологии от 17 декабря 2019 г. № 1405-ст</w:t>
      </w:r>
      <w:r w:rsidR="007566C0" w:rsidRPr="007566C0">
        <w:rPr>
          <w:rFonts w:ascii="var(--content-font)" w:eastAsia="Times New Roman" w:hAnsi="var(--content-font)" w:cs="Arial"/>
          <w:color w:val="E48B00"/>
          <w:spacing w:val="-3"/>
          <w:sz w:val="27"/>
          <w:szCs w:val="27"/>
          <w:u w:val="single"/>
          <w:lang w:eastAsia="ru-RU"/>
        </w:rPr>
        <w:fldChar w:fldCharType="end"/>
      </w:r>
      <w:bookmarkEnd w:id="0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), рекомендуется реализовывать пошагово с выполнением следующих процедур:</w:t>
      </w:r>
      <w:proofErr w:type="gramEnd"/>
    </w:p>
    <w:p w:rsidR="0040176D" w:rsidRPr="0040176D" w:rsidRDefault="0040176D" w:rsidP="0040176D">
      <w:pPr>
        <w:numPr>
          <w:ilvl w:val="0"/>
          <w:numId w:val="21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определение опасного события, выбранного для анализа, и отображение его в качестве центрального узла "галстука-бабочки";</w:t>
      </w:r>
    </w:p>
    <w:p w:rsidR="0040176D" w:rsidRPr="0040176D" w:rsidRDefault="0040176D" w:rsidP="0040176D">
      <w:pPr>
        <w:numPr>
          <w:ilvl w:val="0"/>
          <w:numId w:val="2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составление перечня причин события с помощью исследования источников опасности, опасной ситуации;</w:t>
      </w:r>
    </w:p>
    <w:p w:rsidR="0040176D" w:rsidRPr="0040176D" w:rsidRDefault="0040176D" w:rsidP="0040176D">
      <w:pPr>
        <w:numPr>
          <w:ilvl w:val="0"/>
          <w:numId w:val="2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определение и описание механизма развития опасности до критического события (тяжелой травмы, аварии, катастрофы и т.п.):</w:t>
      </w:r>
    </w:p>
    <w:p w:rsidR="0040176D" w:rsidRPr="0040176D" w:rsidRDefault="0040176D" w:rsidP="0040176D">
      <w:pPr>
        <w:numPr>
          <w:ilvl w:val="0"/>
          <w:numId w:val="2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графическое проведение линии, отделяющей причину от события (центрального узла "галстука-бабочки"), что позволяет сформировать левую сторону диаграммы.</w:t>
      </w:r>
    </w:p>
    <w:p w:rsidR="0040176D" w:rsidRPr="0040176D" w:rsidRDefault="0040176D" w:rsidP="0040176D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 xml:space="preserve">Дополнительно могут быть идентифицированы и включены в диаграмму факторы, которые могут привести к эскалации (увеличению вероятности наступления события, либо повышению степени тяжести его последствий) опасного события; </w:t>
      </w: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нанесение на диаграмму при помощи вертикальных линий-преград, соответствующих барьерам, установленным на пути причин возникновения нежелательного события - определение и описание в правой стороне "бабочки" различных последствий опасного события и проведение линий, соединяющих центральное событие с каждым возможным последствием; графическое изображение при помощи вертикальных линий-преград барьеров для предотвращения негативных последствий;</w:t>
      </w:r>
      <w:proofErr w:type="gramEnd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отображение под диаграммой "галстук-бабочка" вспомогательных функций управления, относящихся к средствам управления (таких как обучение и проверки), и соединение их с соответствующим средством управления.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Данный метод, не требующий значительных временных и финансовых затрат, а также углублённого обучения использующих его специалистов (в случае необходимости достаточно краткосрочного повышения квалификации), рекомендуется применять для оценки рисков на уровне проекта/отдела, а также для конкретного оборудования или процесса.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Метод также рекомендуется использовать для принятия решений на тактическом или операционном уровнях, для рисков, действующих в среднесрочном и краткосрочном временном диапазоне.</w:t>
      </w:r>
      <w:proofErr w:type="gramEnd"/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​</w:t>
      </w:r>
    </w:p>
    <w:p w:rsidR="00002A1E" w:rsidRDefault="00002A1E"/>
    <w:sectPr w:rsidR="00002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ar(--player-main-font)">
    <w:altName w:val="Times New Roman"/>
    <w:panose1 w:val="00000000000000000000"/>
    <w:charset w:val="00"/>
    <w:family w:val="roman"/>
    <w:notTrueType/>
    <w:pitch w:val="default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ar(--content-font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7EA7"/>
    <w:multiLevelType w:val="multilevel"/>
    <w:tmpl w:val="4AA0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77BD1"/>
    <w:multiLevelType w:val="multilevel"/>
    <w:tmpl w:val="B000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80A0A"/>
    <w:multiLevelType w:val="multilevel"/>
    <w:tmpl w:val="93549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70186"/>
    <w:multiLevelType w:val="multilevel"/>
    <w:tmpl w:val="1B96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876689"/>
    <w:multiLevelType w:val="multilevel"/>
    <w:tmpl w:val="BD9C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B413C"/>
    <w:multiLevelType w:val="multilevel"/>
    <w:tmpl w:val="BAB4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465B3C"/>
    <w:multiLevelType w:val="multilevel"/>
    <w:tmpl w:val="CA94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35D6B"/>
    <w:multiLevelType w:val="multilevel"/>
    <w:tmpl w:val="421C9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8D3D2B"/>
    <w:multiLevelType w:val="multilevel"/>
    <w:tmpl w:val="C51A1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4C3BC3"/>
    <w:multiLevelType w:val="multilevel"/>
    <w:tmpl w:val="ABC65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46069A"/>
    <w:multiLevelType w:val="multilevel"/>
    <w:tmpl w:val="0A2C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B9203B"/>
    <w:multiLevelType w:val="multilevel"/>
    <w:tmpl w:val="510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08A3"/>
    <w:multiLevelType w:val="multilevel"/>
    <w:tmpl w:val="0F686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F36CA5"/>
    <w:multiLevelType w:val="multilevel"/>
    <w:tmpl w:val="9906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A61E97"/>
    <w:multiLevelType w:val="multilevel"/>
    <w:tmpl w:val="60B6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5C624A"/>
    <w:multiLevelType w:val="multilevel"/>
    <w:tmpl w:val="16AA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D107D4"/>
    <w:multiLevelType w:val="multilevel"/>
    <w:tmpl w:val="2520A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B553F2"/>
    <w:multiLevelType w:val="multilevel"/>
    <w:tmpl w:val="6B70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D57689"/>
    <w:multiLevelType w:val="multilevel"/>
    <w:tmpl w:val="80B87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6047AE"/>
    <w:multiLevelType w:val="multilevel"/>
    <w:tmpl w:val="40F0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7307BD"/>
    <w:multiLevelType w:val="multilevel"/>
    <w:tmpl w:val="369A3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5"/>
  </w:num>
  <w:num w:numId="5">
    <w:abstractNumId w:val="11"/>
  </w:num>
  <w:num w:numId="6">
    <w:abstractNumId w:val="8"/>
  </w:num>
  <w:num w:numId="7">
    <w:abstractNumId w:val="15"/>
  </w:num>
  <w:num w:numId="8">
    <w:abstractNumId w:val="6"/>
  </w:num>
  <w:num w:numId="9">
    <w:abstractNumId w:val="0"/>
  </w:num>
  <w:num w:numId="10">
    <w:abstractNumId w:val="17"/>
  </w:num>
  <w:num w:numId="11">
    <w:abstractNumId w:val="7"/>
  </w:num>
  <w:num w:numId="12">
    <w:abstractNumId w:val="10"/>
  </w:num>
  <w:num w:numId="13">
    <w:abstractNumId w:val="12"/>
  </w:num>
  <w:num w:numId="14">
    <w:abstractNumId w:val="9"/>
  </w:num>
  <w:num w:numId="15">
    <w:abstractNumId w:val="18"/>
  </w:num>
  <w:num w:numId="16">
    <w:abstractNumId w:val="2"/>
  </w:num>
  <w:num w:numId="17">
    <w:abstractNumId w:val="3"/>
  </w:num>
  <w:num w:numId="18">
    <w:abstractNumId w:val="16"/>
  </w:num>
  <w:num w:numId="19">
    <w:abstractNumId w:val="1"/>
  </w:num>
  <w:num w:numId="20">
    <w:abstractNumId w:val="1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6D"/>
    <w:rsid w:val="00002A1E"/>
    <w:rsid w:val="001A2C00"/>
    <w:rsid w:val="0040176D"/>
    <w:rsid w:val="004B73B4"/>
    <w:rsid w:val="005148C6"/>
    <w:rsid w:val="005840A7"/>
    <w:rsid w:val="007566C0"/>
    <w:rsid w:val="00875433"/>
    <w:rsid w:val="00B963E3"/>
    <w:rsid w:val="00BD159C"/>
    <w:rsid w:val="00C16F79"/>
    <w:rsid w:val="00D1391E"/>
    <w:rsid w:val="00D47787"/>
    <w:rsid w:val="00E8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017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017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title">
    <w:name w:val="text-title"/>
    <w:basedOn w:val="a"/>
    <w:rsid w:val="0040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40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0A7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D159C"/>
  </w:style>
  <w:style w:type="paragraph" w:customStyle="1" w:styleId="FORMATTEXT">
    <w:name w:val=".FORMATTEXT"/>
    <w:uiPriority w:val="99"/>
    <w:rsid w:val="00BD15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Гиперссылка1"/>
    <w:basedOn w:val="a0"/>
    <w:uiPriority w:val="99"/>
    <w:unhideWhenUsed/>
    <w:rsid w:val="00BD159C"/>
    <w:rPr>
      <w:color w:val="0000FF"/>
      <w:u w:val="single"/>
    </w:rPr>
  </w:style>
  <w:style w:type="character" w:styleId="a7">
    <w:name w:val="Hyperlink"/>
    <w:basedOn w:val="a0"/>
    <w:uiPriority w:val="99"/>
    <w:unhideWhenUsed/>
    <w:rsid w:val="00BD15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017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017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title">
    <w:name w:val="text-title"/>
    <w:basedOn w:val="a"/>
    <w:rsid w:val="0040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40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0A7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D159C"/>
  </w:style>
  <w:style w:type="paragraph" w:customStyle="1" w:styleId="FORMATTEXT">
    <w:name w:val=".FORMATTEXT"/>
    <w:uiPriority w:val="99"/>
    <w:rsid w:val="00BD15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Гиперссылка1"/>
    <w:basedOn w:val="a0"/>
    <w:uiPriority w:val="99"/>
    <w:unhideWhenUsed/>
    <w:rsid w:val="00BD159C"/>
    <w:rPr>
      <w:color w:val="0000FF"/>
      <w:u w:val="single"/>
    </w:rPr>
  </w:style>
  <w:style w:type="character" w:styleId="a7">
    <w:name w:val="Hyperlink"/>
    <w:basedOn w:val="a0"/>
    <w:uiPriority w:val="99"/>
    <w:unhideWhenUsed/>
    <w:rsid w:val="00BD15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3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1126">
          <w:marLeft w:val="0"/>
          <w:marRight w:val="0"/>
          <w:marTop w:val="10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94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40814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6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7656052">
              <w:blockQuote w:val="1"/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59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5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18031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1117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kodeks://link/d?nd=1200170253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kodeks://link/d?nd=12001702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kodeks://link/d?nd=72802975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19</Pages>
  <Words>6831</Words>
  <Characters>38941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User1</cp:lastModifiedBy>
  <cp:revision>9</cp:revision>
  <cp:lastPrinted>2022-09-19T07:41:00Z</cp:lastPrinted>
  <dcterms:created xsi:type="dcterms:W3CDTF">2022-09-14T13:10:00Z</dcterms:created>
  <dcterms:modified xsi:type="dcterms:W3CDTF">2026-02-10T12:22:00Z</dcterms:modified>
</cp:coreProperties>
</file>